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CCD2D" w14:textId="77777777" w:rsidR="008C4881" w:rsidRPr="00AE7740" w:rsidRDefault="008C4881" w:rsidP="00F55539">
      <w:pPr>
        <w:widowControl w:val="0"/>
        <w:rPr>
          <w:rStyle w:val="Strong"/>
        </w:rPr>
      </w:pPr>
    </w:p>
    <w:tbl>
      <w:tblPr>
        <w:tblpPr w:leftFromText="180" w:rightFromText="180" w:vertAnchor="text" w:horzAnchor="margin" w:tblpXSpec="center" w:tblpY="1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D13FCF" w:rsidRPr="0009295F" w14:paraId="2BFCCD30" w14:textId="77777777" w:rsidTr="00597CCF">
        <w:tc>
          <w:tcPr>
            <w:tcW w:w="9747" w:type="dxa"/>
            <w:gridSpan w:val="2"/>
          </w:tcPr>
          <w:p w14:paraId="2BFCCD2E" w14:textId="77777777" w:rsidR="00D13FCF" w:rsidRPr="0009295F" w:rsidRDefault="003024D3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28"/>
              </w:rPr>
              <w:t>Assistant</w:t>
            </w:r>
            <w:r w:rsidR="00053E8D">
              <w:rPr>
                <w:rFonts w:ascii="Calibri" w:hAnsi="Calibri" w:cs="Calibri"/>
                <w:b/>
                <w:bCs/>
                <w:sz w:val="32"/>
                <w:szCs w:val="28"/>
              </w:rPr>
              <w:t xml:space="preserve"> Wellbeing</w:t>
            </w:r>
            <w:r>
              <w:rPr>
                <w:rFonts w:ascii="Calibri" w:hAnsi="Calibri" w:cs="Calibri"/>
                <w:b/>
                <w:bCs/>
                <w:sz w:val="32"/>
                <w:szCs w:val="28"/>
              </w:rPr>
              <w:t xml:space="preserve"> Facilitator VOLUNTEER</w:t>
            </w:r>
            <w:r w:rsidR="00F55539">
              <w:rPr>
                <w:rFonts w:ascii="Calibri" w:hAnsi="Calibri" w:cs="Calibri"/>
                <w:b/>
                <w:bCs/>
                <w:sz w:val="32"/>
                <w:szCs w:val="28"/>
              </w:rPr>
              <w:t xml:space="preserve"> </w:t>
            </w:r>
            <w:r w:rsidR="00A42DDB" w:rsidRPr="0009295F">
              <w:rPr>
                <w:rFonts w:ascii="Calibri" w:hAnsi="Calibri" w:cs="Calibri"/>
                <w:b/>
                <w:bCs/>
                <w:sz w:val="32"/>
                <w:szCs w:val="28"/>
              </w:rPr>
              <w:t>ROLE</w:t>
            </w:r>
            <w:r w:rsidR="00D13FCF" w:rsidRPr="0009295F">
              <w:rPr>
                <w:rFonts w:ascii="Calibri" w:hAnsi="Calibri" w:cs="Calibri"/>
                <w:b/>
                <w:bCs/>
                <w:sz w:val="32"/>
                <w:szCs w:val="28"/>
              </w:rPr>
              <w:t xml:space="preserve"> DESCRIPTION</w:t>
            </w:r>
          </w:p>
          <w:p w14:paraId="2BFCCD2F" w14:textId="77777777" w:rsidR="00D13FCF" w:rsidRPr="0009295F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28"/>
                <w:u w:val="single"/>
              </w:rPr>
            </w:pPr>
          </w:p>
        </w:tc>
      </w:tr>
      <w:tr w:rsidR="00D13FCF" w:rsidRPr="0009295F" w14:paraId="2BFCCD33" w14:textId="77777777" w:rsidTr="00597CCF">
        <w:tc>
          <w:tcPr>
            <w:tcW w:w="2943" w:type="dxa"/>
          </w:tcPr>
          <w:p w14:paraId="2BFCCD31" w14:textId="77777777" w:rsidR="00D13FCF" w:rsidRPr="0009295F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  <w:szCs w:val="28"/>
              </w:rPr>
              <w:t>POST TITLE:</w:t>
            </w:r>
          </w:p>
        </w:tc>
        <w:tc>
          <w:tcPr>
            <w:tcW w:w="6804" w:type="dxa"/>
          </w:tcPr>
          <w:p w14:paraId="2BFCCD32" w14:textId="77777777" w:rsidR="00D13FCF" w:rsidRPr="0009295F" w:rsidRDefault="003024D3" w:rsidP="003E6DDD">
            <w:pPr>
              <w:widowControl w:val="0"/>
              <w:rPr>
                <w:rFonts w:ascii="Calibri" w:hAnsi="Calibri" w:cs="Calibri"/>
                <w:bCs/>
                <w:sz w:val="24"/>
                <w:szCs w:val="28"/>
              </w:rPr>
            </w:pPr>
            <w:r>
              <w:rPr>
                <w:rFonts w:ascii="Calibri" w:hAnsi="Calibri" w:cs="Calibri"/>
                <w:bCs/>
                <w:sz w:val="24"/>
                <w:szCs w:val="28"/>
              </w:rPr>
              <w:t xml:space="preserve">Assistant </w:t>
            </w:r>
            <w:r w:rsidR="00053E8D">
              <w:rPr>
                <w:rFonts w:ascii="Calibri" w:hAnsi="Calibri" w:cs="Calibri"/>
                <w:bCs/>
                <w:sz w:val="24"/>
                <w:szCs w:val="28"/>
              </w:rPr>
              <w:t xml:space="preserve">Wellbeing </w:t>
            </w:r>
            <w:proofErr w:type="gramStart"/>
            <w:r>
              <w:rPr>
                <w:rFonts w:ascii="Calibri" w:hAnsi="Calibri" w:cs="Calibri"/>
                <w:bCs/>
                <w:sz w:val="24"/>
                <w:szCs w:val="28"/>
              </w:rPr>
              <w:t>Facilitator  -</w:t>
            </w:r>
            <w:proofErr w:type="gramEnd"/>
            <w:r>
              <w:rPr>
                <w:rFonts w:ascii="Calibri" w:hAnsi="Calibri" w:cs="Calibri"/>
                <w:bCs/>
                <w:sz w:val="24"/>
                <w:szCs w:val="28"/>
              </w:rPr>
              <w:t xml:space="preserve"> Wellbeing Service</w:t>
            </w:r>
            <w:r w:rsidR="00517B47">
              <w:rPr>
                <w:rFonts w:ascii="Calibri" w:hAnsi="Calibri" w:cs="Calibri"/>
                <w:bCs/>
                <w:sz w:val="24"/>
                <w:szCs w:val="28"/>
              </w:rPr>
              <w:t xml:space="preserve"> </w:t>
            </w:r>
          </w:p>
        </w:tc>
      </w:tr>
      <w:tr w:rsidR="00D13FCF" w:rsidRPr="0009295F" w14:paraId="2BFCCD36" w14:textId="77777777" w:rsidTr="00597CCF">
        <w:tc>
          <w:tcPr>
            <w:tcW w:w="2943" w:type="dxa"/>
          </w:tcPr>
          <w:p w14:paraId="2BFCCD34" w14:textId="77777777" w:rsidR="00D13FCF" w:rsidRPr="0009295F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  <w:szCs w:val="28"/>
              </w:rPr>
              <w:t>RESPONSIBLE TO:</w:t>
            </w:r>
          </w:p>
        </w:tc>
        <w:tc>
          <w:tcPr>
            <w:tcW w:w="6804" w:type="dxa"/>
          </w:tcPr>
          <w:p w14:paraId="2BFCCD35" w14:textId="77777777" w:rsidR="00D13FCF" w:rsidRPr="0009295F" w:rsidRDefault="00D13FCF" w:rsidP="00517B47">
            <w:pPr>
              <w:widowControl w:val="0"/>
              <w:rPr>
                <w:rFonts w:ascii="Calibri" w:hAnsi="Calibri" w:cs="Calibri"/>
                <w:bCs/>
                <w:i/>
                <w:sz w:val="24"/>
                <w:szCs w:val="28"/>
              </w:rPr>
            </w:pPr>
          </w:p>
        </w:tc>
      </w:tr>
    </w:tbl>
    <w:p w14:paraId="2BFCCD37" w14:textId="77777777" w:rsidR="00A913AB" w:rsidRPr="0009295F" w:rsidRDefault="00A913AB" w:rsidP="006B009B">
      <w:pPr>
        <w:widowControl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8360"/>
      </w:tblGrid>
      <w:tr w:rsidR="00D13FCF" w:rsidRPr="0009295F" w14:paraId="2BFCCD47" w14:textId="77777777" w:rsidTr="00597CCF">
        <w:tc>
          <w:tcPr>
            <w:tcW w:w="1387" w:type="dxa"/>
          </w:tcPr>
          <w:p w14:paraId="2BFCCD38" w14:textId="77777777" w:rsidR="00D13FCF" w:rsidRPr="00662B68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BFCCD39" w14:textId="77777777" w:rsidR="00D13FCF" w:rsidRPr="00662B68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62B6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Main Purpose </w:t>
            </w:r>
          </w:p>
          <w:p w14:paraId="2BFCCD3A" w14:textId="77777777" w:rsidR="00D13FCF" w:rsidRPr="00662B68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360" w:type="dxa"/>
          </w:tcPr>
          <w:p w14:paraId="2BFCCD3B" w14:textId="77777777" w:rsidR="00E67DBA" w:rsidRPr="00E8325F" w:rsidRDefault="000764C7" w:rsidP="002432C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b/>
                <w:sz w:val="24"/>
                <w:szCs w:val="24"/>
              </w:rPr>
              <w:t>Overview</w:t>
            </w:r>
          </w:p>
          <w:p w14:paraId="2BFCCD3C" w14:textId="0D94151A" w:rsidR="003024D3" w:rsidRPr="00E8325F" w:rsidRDefault="003024D3" w:rsidP="00662B6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This role will support the </w:t>
            </w:r>
            <w:r w:rsidR="001F64A4"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smooth </w:t>
            </w: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>running of a 5</w:t>
            </w:r>
            <w:r w:rsidR="00FC688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week rolling programme of wellbeing sessions. These sessions focus on the 5 ways to wellbeing and provide information, practical ideas, opportunities for group discussion about how to lead a healthy and happy life. </w:t>
            </w:r>
          </w:p>
          <w:p w14:paraId="2BFCCD3D" w14:textId="77777777" w:rsidR="003024D3" w:rsidRPr="00E8325F" w:rsidRDefault="003024D3" w:rsidP="00662B6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FCCD3E" w14:textId="63AF06DC" w:rsidR="003024D3" w:rsidRPr="00E8325F" w:rsidRDefault="003024D3" w:rsidP="00662B6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>The 5 Ways to Wellbeing is a framework to help people identify the different aspects of their life that can support their mental and physical health. They includ</w:t>
            </w:r>
            <w:r w:rsidR="00FC688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>: being active, learning, giving, taking notice and connecting with others.</w:t>
            </w:r>
            <w:r w:rsidR="001F64A4"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 More information about these can be found here: </w:t>
            </w:r>
            <w:hyperlink r:id="rId10" w:history="1">
              <w:r w:rsidR="001F64A4" w:rsidRPr="00E8325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https://neweconomics.org/2011/07/five-ways-well-new-applications-new-ways-thinking</w:t>
              </w:r>
            </w:hyperlink>
            <w:r w:rsidR="001F64A4"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BFCCD3F" w14:textId="77777777" w:rsidR="000764C7" w:rsidRPr="00E8325F" w:rsidRDefault="000764C7" w:rsidP="002432C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FCCD40" w14:textId="77777777" w:rsidR="00E67DBA" w:rsidRPr="00E8325F" w:rsidRDefault="00B8137D" w:rsidP="002432C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b/>
                <w:sz w:val="24"/>
                <w:szCs w:val="24"/>
              </w:rPr>
              <w:t>Tasks</w:t>
            </w:r>
            <w:r w:rsidR="00A42DDB" w:rsidRPr="00E832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2BFCCD42" w14:textId="77777777" w:rsidR="00517B47" w:rsidRPr="00E8325F" w:rsidRDefault="00517B47" w:rsidP="00517B47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E8325F">
              <w:rPr>
                <w:rFonts w:asciiTheme="minorHAnsi" w:hAnsiTheme="minorHAnsi" w:cstheme="minorHAnsi"/>
                <w:bCs/>
                <w:sz w:val="24"/>
                <w:szCs w:val="24"/>
              </w:rPr>
              <w:t>Support staff to maintain a good dynamic within the group.</w:t>
            </w:r>
          </w:p>
          <w:p w14:paraId="2BFCCD43" w14:textId="375C55B6" w:rsidR="00517B47" w:rsidRDefault="00517B47" w:rsidP="00517B47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Facilitate the group occasionally in the event of staff needing to deal with confidential issues </w:t>
            </w:r>
          </w:p>
          <w:p w14:paraId="6C50FB1C" w14:textId="0ABF998F" w:rsidR="00597CCF" w:rsidRPr="00597CCF" w:rsidRDefault="00597CCF" w:rsidP="00597CCF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E832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Be the additional person to support staff member opening and closing the buildings. This is a crucial safeguarding requirement for you to be present when this happens. </w:t>
            </w:r>
          </w:p>
          <w:p w14:paraId="2BFCCD44" w14:textId="1E772EBC" w:rsidR="00517B47" w:rsidRPr="00E8325F" w:rsidRDefault="00517B47" w:rsidP="00517B47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bCs/>
                <w:sz w:val="24"/>
                <w:szCs w:val="24"/>
              </w:rPr>
              <w:t>General group facilitation and set up tasks e.g. welcoming group members, offering tea, washing up mugs, being warm and inviting</w:t>
            </w:r>
          </w:p>
          <w:p w14:paraId="2BFCCD45" w14:textId="77777777" w:rsidR="001F64A4" w:rsidRPr="00E8325F" w:rsidRDefault="001F64A4" w:rsidP="00517B47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bCs/>
                <w:sz w:val="24"/>
                <w:szCs w:val="24"/>
              </w:rPr>
              <w:t>Support the development of resources and collate relevant information to signpost people towards</w:t>
            </w:r>
          </w:p>
          <w:p w14:paraId="15682745" w14:textId="77777777" w:rsidR="00D55B40" w:rsidRDefault="00D55B40" w:rsidP="00517B47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bCs/>
                <w:sz w:val="24"/>
                <w:szCs w:val="24"/>
              </w:rPr>
              <w:t>Where appropriate, support people to take responsibility and positive action for themselves through an action plan.</w:t>
            </w:r>
          </w:p>
          <w:p w14:paraId="2BFCCD46" w14:textId="7372C7CE" w:rsidR="00597CCF" w:rsidRPr="00E8325F" w:rsidRDefault="00597CCF" w:rsidP="00597CCF">
            <w:pPr>
              <w:ind w:left="7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8137D" w:rsidRPr="0009295F" w14:paraId="2BFCCD4C" w14:textId="77777777" w:rsidTr="00597CCF">
        <w:tc>
          <w:tcPr>
            <w:tcW w:w="1387" w:type="dxa"/>
          </w:tcPr>
          <w:p w14:paraId="2BFCCD48" w14:textId="77777777" w:rsidR="00B8137D" w:rsidRPr="0009295F" w:rsidRDefault="00B8137D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8360" w:type="dxa"/>
          </w:tcPr>
          <w:p w14:paraId="2BFCCD49" w14:textId="77777777" w:rsidR="00B8137D" w:rsidRPr="00E8325F" w:rsidRDefault="00B8137D" w:rsidP="002432C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FCCD4A" w14:textId="77777777" w:rsidR="00517B47" w:rsidRPr="00E8325F" w:rsidRDefault="00DC7967" w:rsidP="002432C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>We expect a weekly commitment</w:t>
            </w:r>
            <w:r w:rsidR="00A6120B"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. Session will be at the same time and place each week. </w:t>
            </w:r>
          </w:p>
          <w:p w14:paraId="2BFCCD4B" w14:textId="77777777" w:rsidR="00662B68" w:rsidRPr="00E8325F" w:rsidRDefault="00662B68" w:rsidP="00DC79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12BC" w:rsidRPr="0009295F" w14:paraId="2BFCCD50" w14:textId="77777777" w:rsidTr="00597CCF">
        <w:tc>
          <w:tcPr>
            <w:tcW w:w="1387" w:type="dxa"/>
          </w:tcPr>
          <w:p w14:paraId="2BFCCD4D" w14:textId="77777777" w:rsidR="00E912BC" w:rsidRPr="0009295F" w:rsidRDefault="00E912BC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8360" w:type="dxa"/>
          </w:tcPr>
          <w:p w14:paraId="2BFCCD4E" w14:textId="77777777" w:rsidR="00517B47" w:rsidRPr="00E8325F" w:rsidRDefault="00D527A5" w:rsidP="00517B4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17B47"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F64A4"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TBC various across South </w:t>
            </w:r>
            <w:proofErr w:type="spellStart"/>
            <w:r w:rsidR="001F64A4" w:rsidRPr="00E8325F">
              <w:rPr>
                <w:rFonts w:asciiTheme="minorHAnsi" w:hAnsiTheme="minorHAnsi" w:cstheme="minorHAnsi"/>
                <w:sz w:val="24"/>
                <w:szCs w:val="24"/>
              </w:rPr>
              <w:t>Glos</w:t>
            </w:r>
            <w:proofErr w:type="spellEnd"/>
          </w:p>
          <w:p w14:paraId="2BFCCD4F" w14:textId="77777777" w:rsidR="00E912BC" w:rsidRPr="00E8325F" w:rsidRDefault="00E912BC" w:rsidP="002432C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4C93" w:rsidRPr="0009295F" w14:paraId="2BFCCD57" w14:textId="77777777" w:rsidTr="00597CCF">
        <w:tc>
          <w:tcPr>
            <w:tcW w:w="1387" w:type="dxa"/>
          </w:tcPr>
          <w:p w14:paraId="2BFCCD51" w14:textId="77777777" w:rsidR="00664C93" w:rsidRPr="0009295F" w:rsidRDefault="00664C93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  <w:szCs w:val="28"/>
              </w:rPr>
              <w:t>Support and Training</w:t>
            </w:r>
          </w:p>
        </w:tc>
        <w:tc>
          <w:tcPr>
            <w:tcW w:w="8360" w:type="dxa"/>
          </w:tcPr>
          <w:p w14:paraId="5E99CCD5" w14:textId="77777777" w:rsidR="006F034B" w:rsidRDefault="006F034B" w:rsidP="000764C7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E0D87" w14:textId="738D92FB" w:rsidR="00597CCF" w:rsidRPr="00597CCF" w:rsidRDefault="000764C7" w:rsidP="00597CCF">
            <w:pPr>
              <w:pStyle w:val="ListParagraph"/>
              <w:widowControl w:val="0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7CCF">
              <w:rPr>
                <w:rFonts w:asciiTheme="minorHAnsi" w:hAnsiTheme="minorHAnsi" w:cstheme="minorHAnsi"/>
                <w:sz w:val="24"/>
                <w:szCs w:val="24"/>
              </w:rPr>
              <w:t>Volunteer Induction session</w:t>
            </w:r>
            <w:r w:rsidR="00662B68" w:rsidRPr="00597CCF">
              <w:rPr>
                <w:rFonts w:asciiTheme="minorHAnsi" w:hAnsiTheme="minorHAnsi" w:cstheme="minorHAnsi"/>
                <w:sz w:val="24"/>
                <w:szCs w:val="24"/>
              </w:rPr>
              <w:t xml:space="preserve"> to the organisation</w:t>
            </w:r>
            <w:r w:rsidRPr="00597CCF">
              <w:rPr>
                <w:rFonts w:asciiTheme="minorHAnsi" w:hAnsiTheme="minorHAnsi" w:cstheme="minorHAnsi"/>
                <w:sz w:val="24"/>
                <w:szCs w:val="24"/>
              </w:rPr>
              <w:t xml:space="preserve"> lasting 2 hours</w:t>
            </w:r>
          </w:p>
          <w:p w14:paraId="2BFCCD53" w14:textId="77777777" w:rsidR="000764C7" w:rsidRPr="00597CCF" w:rsidRDefault="00662B68" w:rsidP="00597CCF">
            <w:pPr>
              <w:pStyle w:val="ListParagraph"/>
              <w:widowControl w:val="0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7CCF">
              <w:rPr>
                <w:rFonts w:asciiTheme="minorHAnsi" w:hAnsiTheme="minorHAnsi" w:cstheme="minorHAnsi"/>
                <w:sz w:val="24"/>
                <w:szCs w:val="24"/>
              </w:rPr>
              <w:t>Supervision and support from your staff supervisor</w:t>
            </w:r>
            <w:r w:rsidR="00734F15" w:rsidRPr="00597CC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2BFCCD54" w14:textId="77777777" w:rsidR="00734F15" w:rsidRPr="00597CCF" w:rsidRDefault="00734F15" w:rsidP="00597CCF">
            <w:pPr>
              <w:pStyle w:val="ListParagraph"/>
              <w:widowControl w:val="0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7CCF">
              <w:rPr>
                <w:rFonts w:asciiTheme="minorHAnsi" w:hAnsiTheme="minorHAnsi" w:cstheme="minorHAnsi"/>
                <w:sz w:val="24"/>
                <w:szCs w:val="24"/>
              </w:rPr>
              <w:t>You will receive training in data protection</w:t>
            </w:r>
            <w:r w:rsidR="00517B47" w:rsidRPr="00597CCF">
              <w:rPr>
                <w:rFonts w:asciiTheme="minorHAnsi" w:hAnsiTheme="minorHAnsi" w:cstheme="minorHAnsi"/>
                <w:sz w:val="24"/>
                <w:szCs w:val="24"/>
              </w:rPr>
              <w:t>, confidentiality</w:t>
            </w:r>
            <w:r w:rsidRPr="00597CCF">
              <w:rPr>
                <w:rFonts w:asciiTheme="minorHAnsi" w:hAnsiTheme="minorHAnsi" w:cstheme="minorHAnsi"/>
                <w:sz w:val="24"/>
                <w:szCs w:val="24"/>
              </w:rPr>
              <w:t xml:space="preserve"> and safeguarding. </w:t>
            </w:r>
          </w:p>
          <w:p w14:paraId="2BFCCD55" w14:textId="77777777" w:rsidR="001F64A4" w:rsidRPr="00597CCF" w:rsidRDefault="001F64A4" w:rsidP="00597CCF">
            <w:pPr>
              <w:pStyle w:val="ListParagraph"/>
              <w:widowControl w:val="0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7CCF">
              <w:rPr>
                <w:rFonts w:asciiTheme="minorHAnsi" w:hAnsiTheme="minorHAnsi" w:cstheme="minorHAnsi"/>
                <w:sz w:val="24"/>
                <w:szCs w:val="24"/>
              </w:rPr>
              <w:t xml:space="preserve">MECC (Making Every Contact Count) course a way to have health and wellbeing conversations with people. </w:t>
            </w:r>
          </w:p>
          <w:p w14:paraId="2BFCCD56" w14:textId="77777777" w:rsidR="00662B68" w:rsidRPr="00E8325F" w:rsidRDefault="00662B68" w:rsidP="00517B47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3FCF" w:rsidRPr="0009295F" w14:paraId="2BFCCD5D" w14:textId="77777777" w:rsidTr="00597CCF">
        <w:tc>
          <w:tcPr>
            <w:tcW w:w="1387" w:type="dxa"/>
          </w:tcPr>
          <w:p w14:paraId="2BFCCD58" w14:textId="77777777" w:rsidR="00D13FCF" w:rsidRPr="0009295F" w:rsidRDefault="00D13FCF" w:rsidP="00B8137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 xml:space="preserve">Special notes </w:t>
            </w:r>
          </w:p>
        </w:tc>
        <w:tc>
          <w:tcPr>
            <w:tcW w:w="8360" w:type="dxa"/>
          </w:tcPr>
          <w:p w14:paraId="2BFCCD59" w14:textId="77777777" w:rsidR="00B8137D" w:rsidRPr="00E8325F" w:rsidRDefault="00B8137D" w:rsidP="006C6216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B5F2B2" w14:textId="71E1CB27" w:rsidR="006B4C31" w:rsidRDefault="006B4C31" w:rsidP="006B4C31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You will receive free Circadian Trust gym membership while volunteering </w:t>
            </w:r>
          </w:p>
          <w:p w14:paraId="2BFCCD5A" w14:textId="500B407E" w:rsidR="00517B47" w:rsidRPr="00E8325F" w:rsidRDefault="00517B47" w:rsidP="006C6216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A DBS check is needed for this role. South Brooks Community Partnerships pay for this. </w:t>
            </w:r>
          </w:p>
          <w:p w14:paraId="2BFCCD5B" w14:textId="72009DF1" w:rsidR="00B8137D" w:rsidRDefault="00A40C2E" w:rsidP="006C6216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We </w:t>
            </w:r>
            <w:r w:rsidR="00662B68"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pay for travel expenses. </w:t>
            </w:r>
            <w:bookmarkStart w:id="0" w:name="_GoBack"/>
            <w:bookmarkEnd w:id="0"/>
          </w:p>
          <w:p w14:paraId="2BFCCD5C" w14:textId="77777777" w:rsidR="001D752D" w:rsidRPr="00E8325F" w:rsidRDefault="001D752D" w:rsidP="006B4C31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00AD4" w:rsidRPr="0009295F" w14:paraId="2BFCCD65" w14:textId="77777777" w:rsidTr="00597CCF">
        <w:tc>
          <w:tcPr>
            <w:tcW w:w="1387" w:type="dxa"/>
          </w:tcPr>
          <w:p w14:paraId="2BFCCD5E" w14:textId="77777777" w:rsidR="00A00AD4" w:rsidRPr="0009295F" w:rsidRDefault="00A00AD4" w:rsidP="00A00AD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</w:rPr>
              <w:t>About you</w:t>
            </w:r>
          </w:p>
          <w:p w14:paraId="2BFCCD5F" w14:textId="77777777" w:rsidR="00A00AD4" w:rsidRPr="0009295F" w:rsidRDefault="00A00AD4" w:rsidP="00A00AD4">
            <w:pPr>
              <w:widowControl w:val="0"/>
              <w:rPr>
                <w:rFonts w:ascii="Calibri" w:hAnsi="Calibri" w:cs="Calibri"/>
                <w:b/>
                <w:bCs/>
                <w:sz w:val="24"/>
              </w:rPr>
            </w:pPr>
            <w:r w:rsidRPr="0009295F">
              <w:rPr>
                <w:rFonts w:ascii="Calibri" w:hAnsi="Calibri" w:cs="Calibri"/>
                <w:b/>
                <w:bCs/>
                <w:sz w:val="24"/>
              </w:rPr>
              <w:t>You can…</w:t>
            </w:r>
          </w:p>
          <w:p w14:paraId="2BFCCD60" w14:textId="77777777" w:rsidR="00A00AD4" w:rsidRPr="0009295F" w:rsidRDefault="00A00AD4" w:rsidP="00A00AD4">
            <w:pPr>
              <w:widowControl w:val="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8360" w:type="dxa"/>
          </w:tcPr>
          <w:p w14:paraId="2BFCCD61" w14:textId="6DB0F64E" w:rsidR="007442E5" w:rsidRPr="00E8325F" w:rsidRDefault="00517B47" w:rsidP="00517B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Confidently welcome people in a friendly and </w:t>
            </w:r>
            <w:r w:rsidR="00E8325F" w:rsidRPr="00E8325F">
              <w:rPr>
                <w:rFonts w:asciiTheme="minorHAnsi" w:hAnsiTheme="minorHAnsi" w:cstheme="minorHAnsi"/>
                <w:sz w:val="24"/>
                <w:szCs w:val="24"/>
              </w:rPr>
              <w:t>non-judgemental</w:t>
            </w: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 manner</w:t>
            </w:r>
          </w:p>
          <w:p w14:paraId="2BFCCD62" w14:textId="77777777" w:rsidR="00517B47" w:rsidRPr="00E8325F" w:rsidRDefault="00517B47" w:rsidP="00517B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>Follow safeguarding procedures</w:t>
            </w:r>
          </w:p>
          <w:p w14:paraId="2BFCCD63" w14:textId="77777777" w:rsidR="00517B47" w:rsidRPr="00E8325F" w:rsidRDefault="00517B47" w:rsidP="00517B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>Travel to the locations and arrive promptly</w:t>
            </w:r>
          </w:p>
          <w:p w14:paraId="2BFCCD64" w14:textId="77777777" w:rsidR="00517B47" w:rsidRPr="00E8325F" w:rsidRDefault="00517B47" w:rsidP="00517B47">
            <w:pPr>
              <w:pStyle w:val="ListParagraph"/>
              <w:spacing w:after="0" w:line="240" w:lineRule="auto"/>
              <w:ind w:left="7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0AD4" w:rsidRPr="0009295F" w14:paraId="2BFCCD6A" w14:textId="77777777" w:rsidTr="00597CCF">
        <w:trPr>
          <w:trHeight w:val="353"/>
        </w:trPr>
        <w:tc>
          <w:tcPr>
            <w:tcW w:w="1387" w:type="dxa"/>
          </w:tcPr>
          <w:p w14:paraId="2BFCCD66" w14:textId="77777777" w:rsidR="00A00AD4" w:rsidRPr="0009295F" w:rsidRDefault="00A00AD4" w:rsidP="00A00AD4">
            <w:pPr>
              <w:widowControl w:val="0"/>
              <w:rPr>
                <w:rFonts w:ascii="Calibri" w:hAnsi="Calibri" w:cs="Calibri"/>
                <w:b/>
                <w:bCs/>
                <w:sz w:val="24"/>
              </w:rPr>
            </w:pPr>
            <w:r w:rsidRPr="0009295F">
              <w:rPr>
                <w:rFonts w:ascii="Calibri" w:hAnsi="Calibri" w:cs="Calibri"/>
                <w:b/>
                <w:bCs/>
                <w:sz w:val="24"/>
              </w:rPr>
              <w:t>You are….</w:t>
            </w:r>
          </w:p>
        </w:tc>
        <w:tc>
          <w:tcPr>
            <w:tcW w:w="8360" w:type="dxa"/>
          </w:tcPr>
          <w:p w14:paraId="2BFCCD67" w14:textId="77777777" w:rsidR="00A00AD4" w:rsidRPr="00E8325F" w:rsidRDefault="007442E5" w:rsidP="00A00AD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Interested in </w:t>
            </w:r>
            <w:r w:rsidR="001F64A4" w:rsidRPr="00E8325F">
              <w:rPr>
                <w:rFonts w:asciiTheme="minorHAnsi" w:hAnsiTheme="minorHAnsi" w:cstheme="minorHAnsi"/>
                <w:sz w:val="24"/>
                <w:szCs w:val="24"/>
              </w:rPr>
              <w:t>mental health and wellbeing</w:t>
            </w:r>
          </w:p>
          <w:p w14:paraId="2BFCCD68" w14:textId="77777777" w:rsidR="00A00AD4" w:rsidRPr="00E8325F" w:rsidRDefault="00517B47" w:rsidP="00A00AD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>Willing to learn about safeguarding</w:t>
            </w:r>
          </w:p>
          <w:p w14:paraId="2BFCCD69" w14:textId="77777777" w:rsidR="00A00AD4" w:rsidRPr="00E8325F" w:rsidRDefault="00517B47" w:rsidP="00A00AD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>Friendly and empathetic</w:t>
            </w:r>
          </w:p>
        </w:tc>
      </w:tr>
      <w:tr w:rsidR="001F64A4" w:rsidRPr="0009295F" w14:paraId="2BFCCD80" w14:textId="77777777" w:rsidTr="00597CCF">
        <w:trPr>
          <w:trHeight w:val="353"/>
        </w:trPr>
        <w:tc>
          <w:tcPr>
            <w:tcW w:w="1387" w:type="dxa"/>
          </w:tcPr>
          <w:p w14:paraId="2BFCCD6B" w14:textId="77777777" w:rsidR="001F64A4" w:rsidRPr="0009295F" w:rsidRDefault="001F64A4" w:rsidP="00A00AD4">
            <w:pPr>
              <w:widowControl w:val="0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More About the Programme and the team </w:t>
            </w:r>
          </w:p>
        </w:tc>
        <w:tc>
          <w:tcPr>
            <w:tcW w:w="8360" w:type="dxa"/>
          </w:tcPr>
          <w:p w14:paraId="2BFCCD6C" w14:textId="77777777" w:rsidR="001F64A4" w:rsidRPr="00E8325F" w:rsidRDefault="001F64A4" w:rsidP="001F64A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A6120B"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aim of the </w:t>
            </w: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Wellbeing </w:t>
            </w:r>
            <w:r w:rsidR="00A6120B"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Service is to support people to lead healthy and happy lives. It takes place across South Gloucestershire including rural and town locations. It is a partnership of organisations who run different aspects of the service. </w:t>
            </w:r>
          </w:p>
          <w:p w14:paraId="2BFCCD6D" w14:textId="77777777" w:rsidR="0018797E" w:rsidRPr="00E8325F" w:rsidRDefault="0018797E" w:rsidP="001F64A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b/>
                <w:sz w:val="24"/>
                <w:szCs w:val="24"/>
              </w:rPr>
              <w:t>Universal Offer</w:t>
            </w: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 – this is open to everyone and includes physical courses and sessions such as yoga, walking football, tai chi along with mindfulness and other stress relieving courses. </w:t>
            </w:r>
            <w:r w:rsidR="00D55B40"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Taster sessions for specific people who might find it hard to access general services e.g. carers, LGBTQ+, men, BME. </w:t>
            </w:r>
          </w:p>
          <w:p w14:paraId="2BFCCD6E" w14:textId="77777777" w:rsidR="0018797E" w:rsidRPr="00E8325F" w:rsidRDefault="0018797E" w:rsidP="001F64A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b/>
                <w:sz w:val="24"/>
                <w:szCs w:val="24"/>
              </w:rPr>
              <w:t>Wellbeing Sessions</w:t>
            </w: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 – This is only for people who’</w:t>
            </w:r>
            <w:r w:rsidR="00D90DF0" w:rsidRPr="00E8325F">
              <w:rPr>
                <w:rFonts w:asciiTheme="minorHAnsi" w:hAnsiTheme="minorHAnsi" w:cstheme="minorHAnsi"/>
                <w:sz w:val="24"/>
                <w:szCs w:val="24"/>
              </w:rPr>
              <w:t>ve been referred to them</w:t>
            </w: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>. They mig</w:t>
            </w:r>
            <w:r w:rsidR="00D55B40"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ht be experience mild depression, anxiety, feel isolated and disengaged with the community and have a physical health condition. In small groups they will have information about the 5 Ways to Wellbeing and have 1:1 </w:t>
            </w:r>
            <w:proofErr w:type="gramStart"/>
            <w:r w:rsidR="00D55B40" w:rsidRPr="00E8325F">
              <w:rPr>
                <w:rFonts w:asciiTheme="minorHAnsi" w:hAnsiTheme="minorHAnsi" w:cstheme="minorHAnsi"/>
                <w:sz w:val="24"/>
                <w:szCs w:val="24"/>
              </w:rPr>
              <w:t>conversations</w:t>
            </w:r>
            <w:proofErr w:type="gramEnd"/>
            <w:r w:rsidR="00D55B40"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 about positive actions they can make to help improve their health. </w:t>
            </w:r>
          </w:p>
          <w:p w14:paraId="2BFCCD6F" w14:textId="385658E7" w:rsidR="00D55B40" w:rsidRPr="00E8325F" w:rsidRDefault="00D55B40" w:rsidP="001F64A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1:1 support – </w:t>
            </w:r>
            <w:r w:rsidR="00D9271E">
              <w:rPr>
                <w:rFonts w:asciiTheme="minorHAnsi" w:hAnsiTheme="minorHAnsi" w:cstheme="minorHAnsi"/>
                <w:sz w:val="24"/>
                <w:szCs w:val="24"/>
              </w:rPr>
              <w:t>Some</w:t>
            </w: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 people </w:t>
            </w:r>
            <w:r w:rsidR="006F034B">
              <w:rPr>
                <w:rFonts w:asciiTheme="minorHAnsi" w:hAnsiTheme="minorHAnsi" w:cstheme="minorHAnsi"/>
                <w:sz w:val="24"/>
                <w:szCs w:val="24"/>
              </w:rPr>
              <w:t xml:space="preserve">requiring additional help to access services </w:t>
            </w: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will be supported 1:1 by Wellbeing Support Workers and Wellbeing Buddy Volunteers. They will be supported to create action plans, supported to attend groups and activities and receive 1:1 coaching to help make behaviour changes. </w:t>
            </w:r>
          </w:p>
          <w:p w14:paraId="2BFCCD70" w14:textId="77777777" w:rsidR="00D55B40" w:rsidRPr="00E8325F" w:rsidRDefault="00D55B40" w:rsidP="001F64A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Enhanced </w:t>
            </w:r>
            <w:proofErr w:type="gramStart"/>
            <w:r w:rsidRPr="00E8325F">
              <w:rPr>
                <w:rFonts w:asciiTheme="minorHAnsi" w:hAnsiTheme="minorHAnsi" w:cstheme="minorHAnsi"/>
                <w:b/>
                <w:sz w:val="24"/>
                <w:szCs w:val="24"/>
              </w:rPr>
              <w:t>Support  -</w:t>
            </w:r>
            <w:proofErr w:type="gramEnd"/>
            <w:r w:rsidRPr="00E832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A number of people with complex health needs will be supported with up to 12 weeks of therapeutic sessions to help them make the changes needed to become healthier and happier. </w:t>
            </w:r>
          </w:p>
          <w:p w14:paraId="14012217" w14:textId="77777777" w:rsidR="00FF083B" w:rsidRDefault="00D55B40" w:rsidP="00FF083B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083B">
              <w:rPr>
                <w:rFonts w:asciiTheme="minorHAnsi" w:hAnsiTheme="minorHAnsi" w:cstheme="minorHAnsi"/>
                <w:b/>
                <w:sz w:val="24"/>
                <w:szCs w:val="24"/>
              </w:rPr>
              <w:t>The partners in the Wellbeing Service are:</w:t>
            </w:r>
          </w:p>
          <w:p w14:paraId="5F6073E8" w14:textId="77777777" w:rsidR="00FF083B" w:rsidRPr="00FF083B" w:rsidRDefault="00FF083B" w:rsidP="00FF083B">
            <w:pPr>
              <w:ind w:left="36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fldChar w:fldCharType="begin"/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instrText xml:space="preserve"> HYPERLINK "http://</w:instrText>
            </w:r>
          </w:p>
          <w:p w14:paraId="124B6CEA" w14:textId="77777777" w:rsidR="00FF083B" w:rsidRPr="00FF083B" w:rsidRDefault="00FF083B" w:rsidP="00FF083B">
            <w:pPr>
              <w:ind w:left="3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F083B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shd w:val="clear" w:color="auto" w:fill="FFFFFF"/>
              </w:rPr>
              <w:instrText>www.oasis-talk.org</w:instrText>
            </w:r>
            <w:r w:rsidRPr="00FF083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instrText xml:space="preserve">  Talking therapies service,</w:instrText>
            </w:r>
            <w:r w:rsidRPr="00FF083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instrText xml:space="preserve"> providing 1:1 therapeutic health coaching</w:instrText>
            </w:r>
          </w:p>
          <w:p w14:paraId="729E1A7B" w14:textId="77777777" w:rsidR="00FF083B" w:rsidRPr="00B476BD" w:rsidRDefault="00FF083B" w:rsidP="00FF083B">
            <w:pPr>
              <w:ind w:left="360"/>
              <w:rPr>
                <w:rStyle w:val="Hyperlink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instrText xml:space="preserve">" </w:instrTex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fldChar w:fldCharType="separate"/>
            </w:r>
          </w:p>
          <w:p w14:paraId="366AD9D8" w14:textId="77777777" w:rsidR="00FF083B" w:rsidRPr="00A831A6" w:rsidRDefault="00FF083B" w:rsidP="00FF083B">
            <w:pPr>
              <w:ind w:left="360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proofErr w:type="gramStart"/>
            <w:r w:rsidRPr="00A831A6">
              <w:rPr>
                <w:rStyle w:val="Hyperlink"/>
                <w:rFonts w:asciiTheme="minorHAnsi" w:hAnsiTheme="minorHAnsi" w:cstheme="minorHAnsi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www.oasis-talk.org</w:t>
            </w:r>
            <w:r w:rsidRPr="00A831A6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 Talkin</w:t>
            </w:r>
            <w:proofErr w:type="gramEnd"/>
            <w:r w:rsidRPr="00A831A6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g therapies service,</w:t>
            </w:r>
            <w:r w:rsidRPr="00A831A6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 providing 1:1 therapeutic health coaching</w:t>
            </w:r>
          </w:p>
          <w:p w14:paraId="1297466F" w14:textId="3C34025E" w:rsidR="00685660" w:rsidRPr="00FF083B" w:rsidRDefault="00FF083B" w:rsidP="00FF083B">
            <w:pPr>
              <w:ind w:left="36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fldChar w:fldCharType="end"/>
            </w:r>
            <w:r w:rsidR="00D55B40" w:rsidRPr="00FF083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www.circadiantrust.org</w:t>
            </w:r>
            <w:r w:rsidR="00D55B40" w:rsidRPr="00FF083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02F71" w:rsidRPr="00FF083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D55B40" w:rsidRPr="00FF083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02F71" w:rsidRPr="00FF083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G</w:t>
            </w:r>
            <w:r w:rsidR="00D55B40" w:rsidRPr="00FF083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yms and leisure centres in South </w:t>
            </w:r>
            <w:proofErr w:type="spellStart"/>
            <w:r w:rsidR="00D55B40" w:rsidRPr="00FF083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Glos</w:t>
            </w:r>
            <w:proofErr w:type="spellEnd"/>
            <w:r w:rsidR="00902F71" w:rsidRPr="00FF083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, running </w:t>
            </w:r>
            <w:r w:rsidR="005450DD" w:rsidRPr="00FF083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activities.</w:t>
            </w:r>
          </w:p>
          <w:p w14:paraId="3EF63ACE" w14:textId="77777777" w:rsidR="00685660" w:rsidRPr="00FF083B" w:rsidRDefault="00685660" w:rsidP="00FF083B">
            <w:pPr>
              <w:shd w:val="clear" w:color="auto" w:fill="FFFFFF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FF083B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FF083B">
              <w:rPr>
                <w:rFonts w:asciiTheme="minorHAnsi" w:hAnsiTheme="minorHAnsi" w:cstheme="minorHAnsi"/>
                <w:sz w:val="24"/>
                <w:szCs w:val="24"/>
              </w:rPr>
              <w:instrText xml:space="preserve"> HYPERLINK "http://www.diversitytrust.org.uk  Providing training and taster sessions to make the programme inclusive. </w:instrText>
            </w:r>
          </w:p>
          <w:p w14:paraId="073AC6B5" w14:textId="77777777" w:rsidR="00685660" w:rsidRPr="00FF083B" w:rsidRDefault="00685660" w:rsidP="00FF083B">
            <w:pPr>
              <w:shd w:val="clear" w:color="auto" w:fill="FFFFFF"/>
              <w:ind w:left="360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FF083B">
              <w:rPr>
                <w:rFonts w:asciiTheme="minorHAnsi" w:hAnsiTheme="minorHAnsi" w:cstheme="minorHAnsi"/>
                <w:sz w:val="24"/>
                <w:szCs w:val="24"/>
              </w:rPr>
              <w:instrText xml:space="preserve">" </w:instrText>
            </w:r>
            <w:r w:rsidRPr="00FF083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83B">
              <w:rPr>
                <w:rStyle w:val="Hyperlink"/>
                <w:rFonts w:asciiTheme="minorHAnsi" w:hAnsiTheme="minorHAnsi" w:cstheme="minorHAnsi"/>
                <w:b/>
                <w:color w:val="auto"/>
                <w:sz w:val="24"/>
                <w:szCs w:val="24"/>
                <w:u w:val="none"/>
              </w:rPr>
              <w:t>www.diversitytrust.org.uk</w:t>
            </w:r>
            <w:r w:rsidRPr="00FF083B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  Providing training and taster sessions to make the programme inclusive. </w:t>
            </w:r>
          </w:p>
          <w:p w14:paraId="537022B6" w14:textId="77777777" w:rsidR="009D5C32" w:rsidRDefault="00685660" w:rsidP="009D5C32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FF083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fldChar w:fldCharType="end"/>
            </w:r>
            <w:hyperlink r:id="rId11" w:history="1">
              <w:r w:rsidR="00E8325F" w:rsidRPr="00FF083B"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  <w:u w:val="none"/>
                </w:rPr>
                <w:t>www.southernbrooks.org.uk</w:t>
              </w:r>
            </w:hyperlink>
            <w:r w:rsidR="00D55B40" w:rsidRPr="00FF083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902F71" w:rsidRPr="00FF08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083B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D55B40" w:rsidRPr="00FF083B">
              <w:rPr>
                <w:rFonts w:asciiTheme="minorHAnsi" w:hAnsiTheme="minorHAnsi" w:cstheme="minorHAnsi"/>
                <w:sz w:val="24"/>
                <w:szCs w:val="24"/>
              </w:rPr>
              <w:t xml:space="preserve">eading the programme and </w:t>
            </w:r>
            <w:r w:rsidRPr="00FF083B">
              <w:rPr>
                <w:rFonts w:asciiTheme="minorHAnsi" w:hAnsiTheme="minorHAnsi" w:cstheme="minorHAnsi"/>
                <w:sz w:val="24"/>
                <w:szCs w:val="24"/>
              </w:rPr>
              <w:t>running peer support, 5 ways to wellbeing groups and 1:1 support</w:t>
            </w:r>
            <w:r w:rsidR="00FF083B" w:rsidRPr="00FF083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1D8B8CC4" w14:textId="417831E7" w:rsidR="00A6120B" w:rsidRDefault="00A831A6" w:rsidP="009D5C32">
            <w:pPr>
              <w:ind w:left="36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hyperlink r:id="rId12" w:history="1">
              <w:r w:rsidRPr="00A831A6"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  <w:u w:val="none"/>
                </w:rPr>
                <w:t>www.dhi-online.org.uk</w:t>
              </w:r>
            </w:hyperlink>
            <w:r w:rsidRPr="00A831A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F36F4E" w:rsidRPr="00F36F4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Supporting</w:t>
            </w:r>
            <w:r w:rsidR="00F36F4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FF685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people </w:t>
            </w:r>
            <w:r w:rsidR="006F034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recovering from</w:t>
            </w:r>
            <w:r w:rsidR="00FF685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addi</w:t>
            </w:r>
            <w:r w:rsidR="0000578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ction</w:t>
            </w:r>
            <w:r w:rsidR="006F034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to improve wellbeing</w:t>
            </w:r>
          </w:p>
          <w:p w14:paraId="2BFCCD7F" w14:textId="4C7AC95B" w:rsidR="007B689B" w:rsidRPr="00A831A6" w:rsidRDefault="007B689B" w:rsidP="009D5C32">
            <w:pPr>
              <w:ind w:left="36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A6120B" w:rsidRPr="0009295F" w14:paraId="2BFCCD8A" w14:textId="77777777" w:rsidTr="00597CCF">
        <w:trPr>
          <w:trHeight w:val="353"/>
        </w:trPr>
        <w:tc>
          <w:tcPr>
            <w:tcW w:w="1387" w:type="dxa"/>
          </w:tcPr>
          <w:p w14:paraId="2BFCCD81" w14:textId="77777777" w:rsidR="00A6120B" w:rsidRDefault="00A6120B" w:rsidP="00A00AD4">
            <w:pPr>
              <w:widowControl w:val="0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Application Process</w:t>
            </w:r>
          </w:p>
        </w:tc>
        <w:tc>
          <w:tcPr>
            <w:tcW w:w="8360" w:type="dxa"/>
          </w:tcPr>
          <w:p w14:paraId="2BFCCD82" w14:textId="77777777" w:rsidR="00A6120B" w:rsidRPr="00E8325F" w:rsidRDefault="00A6120B" w:rsidP="00A6120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>You complete an application form either online, over the phone or paper copy</w:t>
            </w:r>
          </w:p>
          <w:p w14:paraId="2BFCCD83" w14:textId="77777777" w:rsidR="00A6120B" w:rsidRPr="00E8325F" w:rsidRDefault="00A6120B" w:rsidP="00A6120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>Volunteer co-ordinator looks at your application and gets in touch to arrange an informal interview</w:t>
            </w:r>
          </w:p>
          <w:p w14:paraId="2BFCCD84" w14:textId="77777777" w:rsidR="00A6120B" w:rsidRPr="00E8325F" w:rsidRDefault="00A6120B" w:rsidP="00A6120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During the interview you and the volunteer co-ordinate decide if you’re a good match for the role. </w:t>
            </w:r>
          </w:p>
          <w:p w14:paraId="2BFCCD85" w14:textId="77777777" w:rsidR="00A6120B" w:rsidRPr="00E8325F" w:rsidRDefault="00A6120B" w:rsidP="00A6120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You might decide not to continue and so might the volunteer co-ordinator. A conversation with feedback about why it’s not a good match. </w:t>
            </w:r>
          </w:p>
          <w:p w14:paraId="2BFCCD86" w14:textId="77777777" w:rsidR="00A6120B" w:rsidRPr="00E8325F" w:rsidRDefault="00A6120B" w:rsidP="00A6120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If both you and the volunteer co-ordinator think it’s suitable, you’ll be invited for a test session to see if you like it. </w:t>
            </w:r>
          </w:p>
          <w:p w14:paraId="2BFCCD87" w14:textId="4B369A52" w:rsidR="00A6120B" w:rsidRPr="00E8325F" w:rsidRDefault="00A6120B" w:rsidP="00A6120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After the session the volunteer co-ordinator will follow up with you as to how you found it and </w:t>
            </w:r>
            <w:r w:rsidR="006F034B">
              <w:rPr>
                <w:rFonts w:asciiTheme="minorHAnsi" w:hAnsiTheme="minorHAnsi" w:cstheme="minorHAnsi"/>
                <w:sz w:val="24"/>
                <w:szCs w:val="24"/>
              </w:rPr>
              <w:t>receive</w:t>
            </w: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 some feedback from the session leader. </w:t>
            </w:r>
          </w:p>
          <w:p w14:paraId="2BFCCD88" w14:textId="77777777" w:rsidR="00A6120B" w:rsidRPr="00E8325F" w:rsidRDefault="00A6120B" w:rsidP="00A6120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You might decide not to continue and so might the volunteer co-ordinator. A conversation with feedback about why it’s not a good match. </w:t>
            </w:r>
          </w:p>
          <w:p w14:paraId="2BFCCD89" w14:textId="08CB1A0D" w:rsidR="00A6120B" w:rsidRPr="00E8325F" w:rsidRDefault="00A6120B" w:rsidP="00A6120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If you and the volunteer co-ordinator think it’s a good role for you, you’ll be invited to an induction session, receive a welcome pack and offered relevant training to your role. </w:t>
            </w:r>
          </w:p>
        </w:tc>
      </w:tr>
    </w:tbl>
    <w:p w14:paraId="2BFCCD8B" w14:textId="0A3D568F" w:rsidR="00C13FAB" w:rsidRDefault="00C13FAB" w:rsidP="00DE585B">
      <w:pPr>
        <w:tabs>
          <w:tab w:val="left" w:pos="180"/>
        </w:tabs>
        <w:rPr>
          <w:rFonts w:ascii="Calibri" w:hAnsi="Calibri"/>
          <w:b/>
          <w:color w:val="0070C0"/>
          <w:sz w:val="36"/>
          <w:szCs w:val="28"/>
          <w:u w:val="single"/>
        </w:rPr>
      </w:pPr>
    </w:p>
    <w:p w14:paraId="6E2E5814" w14:textId="77777777" w:rsidR="00597CCF" w:rsidRDefault="00597CCF" w:rsidP="00DE585B">
      <w:pPr>
        <w:tabs>
          <w:tab w:val="left" w:pos="180"/>
        </w:tabs>
        <w:rPr>
          <w:rFonts w:ascii="Calibri" w:hAnsi="Calibri"/>
          <w:b/>
          <w:color w:val="0070C0"/>
          <w:sz w:val="36"/>
          <w:szCs w:val="28"/>
          <w:u w:val="single"/>
        </w:rPr>
      </w:pPr>
    </w:p>
    <w:sectPr w:rsidR="00597CCF" w:rsidSect="001F64A4">
      <w:headerReference w:type="default" r:id="rId13"/>
      <w:footerReference w:type="default" r:id="rId14"/>
      <w:pgSz w:w="11906" w:h="16838"/>
      <w:pgMar w:top="0" w:right="1800" w:bottom="450" w:left="180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E9AE4" w14:textId="77777777" w:rsidR="004B3A1D" w:rsidRDefault="004B3A1D">
      <w:r>
        <w:separator/>
      </w:r>
    </w:p>
  </w:endnote>
  <w:endnote w:type="continuationSeparator" w:id="0">
    <w:p w14:paraId="0F3D7698" w14:textId="77777777" w:rsidR="004B3A1D" w:rsidRDefault="004B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CCD91" w14:textId="3B3C0462" w:rsidR="003E6DDD" w:rsidRPr="003170B6" w:rsidRDefault="00F03AC3" w:rsidP="006B4C31">
    <w:pPr>
      <w:pStyle w:val="Footer"/>
      <w:jc w:val="right"/>
      <w:rPr>
        <w:rFonts w:ascii="Calibri" w:hAnsi="Calibri"/>
        <w:i/>
      </w:rPr>
    </w:pPr>
    <w:r>
      <w:rPr>
        <w:rFonts w:ascii="Calibri" w:hAnsi="Calibri"/>
        <w:i/>
        <w:color w:val="auto"/>
      </w:rPr>
      <w:tab/>
    </w:r>
    <w:r w:rsidR="00F55539">
      <w:rPr>
        <w:rFonts w:ascii="Calibri" w:hAnsi="Calibri"/>
        <w:i/>
        <w:color w:val="auto"/>
      </w:rPr>
      <w:t>Updated</w:t>
    </w:r>
    <w:r w:rsidR="006B4C31">
      <w:rPr>
        <w:rFonts w:ascii="Calibri" w:hAnsi="Calibri"/>
        <w:i/>
        <w:color w:val="auto"/>
      </w:rPr>
      <w:t xml:space="preserve"> </w:t>
    </w:r>
    <w:r w:rsidR="00F55539">
      <w:rPr>
        <w:rFonts w:ascii="Calibri" w:hAnsi="Calibri"/>
        <w:i/>
        <w:color w:val="auto"/>
      </w:rPr>
      <w:t>April 201</w:t>
    </w:r>
    <w:r w:rsidR="006B4C31">
      <w:rPr>
        <w:rFonts w:ascii="Calibri" w:hAnsi="Calibri"/>
        <w:i/>
        <w:color w:val="auto"/>
      </w:rPr>
      <w:t>9</w:t>
    </w:r>
    <w:r w:rsidR="003E6DDD">
      <w:rPr>
        <w:rFonts w:ascii="Calibri" w:hAnsi="Calibri"/>
        <w:i/>
        <w:color w:val="auto"/>
      </w:rPr>
      <w:tab/>
    </w:r>
    <w:r w:rsidR="003E6DDD">
      <w:rPr>
        <w:rFonts w:ascii="Calibri" w:hAnsi="Calibri"/>
        <w:i/>
        <w:color w:val="auto"/>
      </w:rPr>
      <w:tab/>
    </w:r>
    <w:r w:rsidR="003E6DDD">
      <w:rPr>
        <w:rFonts w:ascii="Calibri" w:hAnsi="Calibri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C55FC" w14:textId="77777777" w:rsidR="004B3A1D" w:rsidRDefault="004B3A1D">
      <w:r>
        <w:separator/>
      </w:r>
    </w:p>
  </w:footnote>
  <w:footnote w:type="continuationSeparator" w:id="0">
    <w:p w14:paraId="4B9DA275" w14:textId="77777777" w:rsidR="004B3A1D" w:rsidRDefault="004B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CCD90" w14:textId="77777777" w:rsidR="003E6DDD" w:rsidRPr="00F7650D" w:rsidRDefault="003E6DDD" w:rsidP="00F7650D">
    <w:pPr>
      <w:pStyle w:val="Header"/>
      <w:jc w:val="right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1A0"/>
    <w:multiLevelType w:val="hybridMultilevel"/>
    <w:tmpl w:val="97D67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83D34"/>
    <w:multiLevelType w:val="hybridMultilevel"/>
    <w:tmpl w:val="C5FCFE76"/>
    <w:lvl w:ilvl="0" w:tplc="3A8C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1884257"/>
    <w:multiLevelType w:val="hybridMultilevel"/>
    <w:tmpl w:val="A7B2C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C1336"/>
    <w:multiLevelType w:val="hybridMultilevel"/>
    <w:tmpl w:val="7332C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40D2D"/>
    <w:multiLevelType w:val="hybridMultilevel"/>
    <w:tmpl w:val="766EC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E303C"/>
    <w:multiLevelType w:val="hybridMultilevel"/>
    <w:tmpl w:val="85581F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51599E"/>
    <w:multiLevelType w:val="hybridMultilevel"/>
    <w:tmpl w:val="8956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7640"/>
    <w:multiLevelType w:val="hybridMultilevel"/>
    <w:tmpl w:val="77F4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C2B98"/>
    <w:multiLevelType w:val="hybridMultilevel"/>
    <w:tmpl w:val="5FB0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A7078"/>
    <w:multiLevelType w:val="hybridMultilevel"/>
    <w:tmpl w:val="15FCC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941C99"/>
    <w:multiLevelType w:val="hybridMultilevel"/>
    <w:tmpl w:val="D70207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0066B3"/>
    <w:multiLevelType w:val="hybridMultilevel"/>
    <w:tmpl w:val="78FA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F6687"/>
    <w:multiLevelType w:val="hybridMultilevel"/>
    <w:tmpl w:val="0E4E2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522F26"/>
    <w:multiLevelType w:val="hybridMultilevel"/>
    <w:tmpl w:val="E932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F6637"/>
    <w:multiLevelType w:val="hybridMultilevel"/>
    <w:tmpl w:val="E3B65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E66BC"/>
    <w:multiLevelType w:val="hybridMultilevel"/>
    <w:tmpl w:val="FE1AC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C6469"/>
    <w:multiLevelType w:val="hybridMultilevel"/>
    <w:tmpl w:val="A86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C26DB"/>
    <w:multiLevelType w:val="hybridMultilevel"/>
    <w:tmpl w:val="008C7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B22A2"/>
    <w:multiLevelType w:val="hybridMultilevel"/>
    <w:tmpl w:val="A004532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DC57BA"/>
    <w:multiLevelType w:val="hybridMultilevel"/>
    <w:tmpl w:val="218A20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53883"/>
    <w:multiLevelType w:val="hybridMultilevel"/>
    <w:tmpl w:val="8682A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B64AF1"/>
    <w:multiLevelType w:val="hybridMultilevel"/>
    <w:tmpl w:val="A190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D20DA"/>
    <w:multiLevelType w:val="hybridMultilevel"/>
    <w:tmpl w:val="162C1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6D7817"/>
    <w:multiLevelType w:val="hybridMultilevel"/>
    <w:tmpl w:val="A6AA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9374E"/>
    <w:multiLevelType w:val="hybridMultilevel"/>
    <w:tmpl w:val="697E7C5E"/>
    <w:lvl w:ilvl="0" w:tplc="3A8C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E78CF"/>
    <w:multiLevelType w:val="hybridMultilevel"/>
    <w:tmpl w:val="C8169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CB586D"/>
    <w:multiLevelType w:val="hybridMultilevel"/>
    <w:tmpl w:val="F9C477A2"/>
    <w:lvl w:ilvl="0" w:tplc="3A8C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A7EAD"/>
    <w:multiLevelType w:val="hybridMultilevel"/>
    <w:tmpl w:val="2C0064BE"/>
    <w:lvl w:ilvl="0" w:tplc="3A8C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D3ADE"/>
    <w:multiLevelType w:val="hybridMultilevel"/>
    <w:tmpl w:val="A2D65378"/>
    <w:lvl w:ilvl="0" w:tplc="E55230A6">
      <w:start w:val="6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 w15:restartNumberingAfterBreak="0">
    <w:nsid w:val="63FB6C26"/>
    <w:multiLevelType w:val="hybridMultilevel"/>
    <w:tmpl w:val="7F22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C2A72"/>
    <w:multiLevelType w:val="hybridMultilevel"/>
    <w:tmpl w:val="48A2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000A8"/>
    <w:multiLevelType w:val="hybridMultilevel"/>
    <w:tmpl w:val="2C38B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94D02"/>
    <w:multiLevelType w:val="multilevel"/>
    <w:tmpl w:val="199E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EA7E3B"/>
    <w:multiLevelType w:val="hybridMultilevel"/>
    <w:tmpl w:val="F55C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66660"/>
    <w:multiLevelType w:val="hybridMultilevel"/>
    <w:tmpl w:val="852A1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FC3E75"/>
    <w:multiLevelType w:val="hybridMultilevel"/>
    <w:tmpl w:val="E0B4F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1"/>
  </w:num>
  <w:num w:numId="5">
    <w:abstractNumId w:val="24"/>
  </w:num>
  <w:num w:numId="6">
    <w:abstractNumId w:val="26"/>
  </w:num>
  <w:num w:numId="7">
    <w:abstractNumId w:val="27"/>
  </w:num>
  <w:num w:numId="8">
    <w:abstractNumId w:val="18"/>
  </w:num>
  <w:num w:numId="9">
    <w:abstractNumId w:val="33"/>
  </w:num>
  <w:num w:numId="10">
    <w:abstractNumId w:val="22"/>
  </w:num>
  <w:num w:numId="11">
    <w:abstractNumId w:val="9"/>
  </w:num>
  <w:num w:numId="12">
    <w:abstractNumId w:val="23"/>
  </w:num>
  <w:num w:numId="13">
    <w:abstractNumId w:val="11"/>
  </w:num>
  <w:num w:numId="14">
    <w:abstractNumId w:val="0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31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16"/>
  </w:num>
  <w:num w:numId="27">
    <w:abstractNumId w:val="2"/>
  </w:num>
  <w:num w:numId="28">
    <w:abstractNumId w:val="29"/>
  </w:num>
  <w:num w:numId="29">
    <w:abstractNumId w:val="35"/>
  </w:num>
  <w:num w:numId="30">
    <w:abstractNumId w:val="21"/>
  </w:num>
  <w:num w:numId="31">
    <w:abstractNumId w:val="34"/>
  </w:num>
  <w:num w:numId="32">
    <w:abstractNumId w:val="28"/>
  </w:num>
  <w:num w:numId="33">
    <w:abstractNumId w:val="32"/>
  </w:num>
  <w:num w:numId="34">
    <w:abstractNumId w:val="30"/>
  </w:num>
  <w:num w:numId="35">
    <w:abstractNumId w:val="1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95"/>
    <w:rsid w:val="000016B1"/>
    <w:rsid w:val="00005782"/>
    <w:rsid w:val="00023EFC"/>
    <w:rsid w:val="000405B7"/>
    <w:rsid w:val="00053E8D"/>
    <w:rsid w:val="00054142"/>
    <w:rsid w:val="000611A6"/>
    <w:rsid w:val="000764C7"/>
    <w:rsid w:val="0009295F"/>
    <w:rsid w:val="000F403F"/>
    <w:rsid w:val="000F5EC7"/>
    <w:rsid w:val="0012397F"/>
    <w:rsid w:val="001319DA"/>
    <w:rsid w:val="00154835"/>
    <w:rsid w:val="0016181E"/>
    <w:rsid w:val="0018797E"/>
    <w:rsid w:val="001A0021"/>
    <w:rsid w:val="001B03FF"/>
    <w:rsid w:val="001B584A"/>
    <w:rsid w:val="001C322C"/>
    <w:rsid w:val="001C498C"/>
    <w:rsid w:val="001D7510"/>
    <w:rsid w:val="001D752D"/>
    <w:rsid w:val="001F64A4"/>
    <w:rsid w:val="002210C6"/>
    <w:rsid w:val="002277AA"/>
    <w:rsid w:val="00241D78"/>
    <w:rsid w:val="002432CD"/>
    <w:rsid w:val="00257653"/>
    <w:rsid w:val="002900FD"/>
    <w:rsid w:val="002B4CA3"/>
    <w:rsid w:val="002B67D8"/>
    <w:rsid w:val="002B7B2D"/>
    <w:rsid w:val="002D1AD9"/>
    <w:rsid w:val="002D691B"/>
    <w:rsid w:val="00300225"/>
    <w:rsid w:val="003024D3"/>
    <w:rsid w:val="00311825"/>
    <w:rsid w:val="003170B6"/>
    <w:rsid w:val="0032271D"/>
    <w:rsid w:val="00327A03"/>
    <w:rsid w:val="003600DF"/>
    <w:rsid w:val="0036114D"/>
    <w:rsid w:val="00386383"/>
    <w:rsid w:val="003A02F5"/>
    <w:rsid w:val="003B44CE"/>
    <w:rsid w:val="003E630C"/>
    <w:rsid w:val="003E6DDD"/>
    <w:rsid w:val="00410D80"/>
    <w:rsid w:val="00420F22"/>
    <w:rsid w:val="00461E95"/>
    <w:rsid w:val="004621E3"/>
    <w:rsid w:val="00475490"/>
    <w:rsid w:val="00482490"/>
    <w:rsid w:val="00496F38"/>
    <w:rsid w:val="004B3279"/>
    <w:rsid w:val="004B3A1D"/>
    <w:rsid w:val="004B6C09"/>
    <w:rsid w:val="004F57C0"/>
    <w:rsid w:val="00512B08"/>
    <w:rsid w:val="00517B47"/>
    <w:rsid w:val="00521CF6"/>
    <w:rsid w:val="00537755"/>
    <w:rsid w:val="005415F9"/>
    <w:rsid w:val="005450DD"/>
    <w:rsid w:val="00597CCF"/>
    <w:rsid w:val="005F2821"/>
    <w:rsid w:val="00611B66"/>
    <w:rsid w:val="0065441E"/>
    <w:rsid w:val="00661EB2"/>
    <w:rsid w:val="00662B68"/>
    <w:rsid w:val="00664819"/>
    <w:rsid w:val="00664C93"/>
    <w:rsid w:val="00685660"/>
    <w:rsid w:val="00687B8D"/>
    <w:rsid w:val="0069299F"/>
    <w:rsid w:val="006B009B"/>
    <w:rsid w:val="006B4C31"/>
    <w:rsid w:val="006C6216"/>
    <w:rsid w:val="006F034B"/>
    <w:rsid w:val="0070310F"/>
    <w:rsid w:val="00703A4A"/>
    <w:rsid w:val="007125F0"/>
    <w:rsid w:val="00714627"/>
    <w:rsid w:val="00731432"/>
    <w:rsid w:val="00734F15"/>
    <w:rsid w:val="007442E5"/>
    <w:rsid w:val="007726AA"/>
    <w:rsid w:val="00795453"/>
    <w:rsid w:val="007B689B"/>
    <w:rsid w:val="007D3A42"/>
    <w:rsid w:val="00867E80"/>
    <w:rsid w:val="0087469B"/>
    <w:rsid w:val="008C4881"/>
    <w:rsid w:val="008D2507"/>
    <w:rsid w:val="008F7357"/>
    <w:rsid w:val="00902F71"/>
    <w:rsid w:val="009035AD"/>
    <w:rsid w:val="00921867"/>
    <w:rsid w:val="009405B4"/>
    <w:rsid w:val="00945E68"/>
    <w:rsid w:val="009A6081"/>
    <w:rsid w:val="009B1C37"/>
    <w:rsid w:val="009D5C32"/>
    <w:rsid w:val="00A00AD4"/>
    <w:rsid w:val="00A11772"/>
    <w:rsid w:val="00A40C2E"/>
    <w:rsid w:val="00A42DDB"/>
    <w:rsid w:val="00A57A58"/>
    <w:rsid w:val="00A6120B"/>
    <w:rsid w:val="00A61762"/>
    <w:rsid w:val="00A831A6"/>
    <w:rsid w:val="00A848C2"/>
    <w:rsid w:val="00A913AB"/>
    <w:rsid w:val="00AB4C19"/>
    <w:rsid w:val="00AC4F69"/>
    <w:rsid w:val="00AC5E16"/>
    <w:rsid w:val="00AE7740"/>
    <w:rsid w:val="00B303E0"/>
    <w:rsid w:val="00B45915"/>
    <w:rsid w:val="00B53BD6"/>
    <w:rsid w:val="00B54A1F"/>
    <w:rsid w:val="00B56715"/>
    <w:rsid w:val="00B8066F"/>
    <w:rsid w:val="00B8137D"/>
    <w:rsid w:val="00C02C02"/>
    <w:rsid w:val="00C13FAB"/>
    <w:rsid w:val="00C31E3C"/>
    <w:rsid w:val="00C4614F"/>
    <w:rsid w:val="00C91CF4"/>
    <w:rsid w:val="00D00ACC"/>
    <w:rsid w:val="00D13FCF"/>
    <w:rsid w:val="00D15368"/>
    <w:rsid w:val="00D35CF8"/>
    <w:rsid w:val="00D43BC1"/>
    <w:rsid w:val="00D456D6"/>
    <w:rsid w:val="00D527A5"/>
    <w:rsid w:val="00D55B40"/>
    <w:rsid w:val="00D90DF0"/>
    <w:rsid w:val="00D9271E"/>
    <w:rsid w:val="00D96969"/>
    <w:rsid w:val="00DA49BE"/>
    <w:rsid w:val="00DC7967"/>
    <w:rsid w:val="00DE585B"/>
    <w:rsid w:val="00E01623"/>
    <w:rsid w:val="00E039DE"/>
    <w:rsid w:val="00E05461"/>
    <w:rsid w:val="00E5748B"/>
    <w:rsid w:val="00E67DBA"/>
    <w:rsid w:val="00E8325F"/>
    <w:rsid w:val="00E87703"/>
    <w:rsid w:val="00E912BC"/>
    <w:rsid w:val="00EA053D"/>
    <w:rsid w:val="00F03AC3"/>
    <w:rsid w:val="00F0485C"/>
    <w:rsid w:val="00F23DB6"/>
    <w:rsid w:val="00F36F4E"/>
    <w:rsid w:val="00F55539"/>
    <w:rsid w:val="00F62ECA"/>
    <w:rsid w:val="00F725C7"/>
    <w:rsid w:val="00F7650D"/>
    <w:rsid w:val="00F8307A"/>
    <w:rsid w:val="00F86B8C"/>
    <w:rsid w:val="00FA1845"/>
    <w:rsid w:val="00FC6880"/>
    <w:rsid w:val="00FC7850"/>
    <w:rsid w:val="00FE2911"/>
    <w:rsid w:val="00FF083B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FCCD2D"/>
  <w15:docId w15:val="{56657D26-951A-46FA-9081-BD463E7C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1E95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6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50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B67D8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2B67D8"/>
    <w:rPr>
      <w:color w:val="000000"/>
      <w:kern w:val="28"/>
      <w:lang w:val="en-GB" w:eastAsia="en-GB"/>
    </w:rPr>
  </w:style>
  <w:style w:type="paragraph" w:styleId="BodyTextIndent">
    <w:name w:val="Body Text Indent"/>
    <w:basedOn w:val="Normal"/>
    <w:link w:val="BodyTextIndentChar"/>
    <w:rsid w:val="000F5EC7"/>
    <w:pPr>
      <w:ind w:left="360"/>
    </w:pPr>
    <w:rPr>
      <w:rFonts w:ascii="Comic Sans MS" w:hAnsi="Comic Sans MS"/>
      <w:color w:val="auto"/>
      <w:kern w:val="0"/>
      <w:sz w:val="22"/>
      <w:lang w:eastAsia="en-US"/>
    </w:rPr>
  </w:style>
  <w:style w:type="character" w:customStyle="1" w:styleId="BodyTextIndentChar">
    <w:name w:val="Body Text Indent Char"/>
    <w:link w:val="BodyTextIndent"/>
    <w:rsid w:val="000F5EC7"/>
    <w:rPr>
      <w:rFonts w:ascii="Comic Sans MS" w:hAnsi="Comic Sans MS"/>
      <w:sz w:val="22"/>
      <w:lang w:val="en-GB"/>
    </w:rPr>
  </w:style>
  <w:style w:type="paragraph" w:styleId="BalloonText">
    <w:name w:val="Balloon Text"/>
    <w:basedOn w:val="Normal"/>
    <w:link w:val="BalloonTextChar"/>
    <w:rsid w:val="006B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009B"/>
    <w:rPr>
      <w:rFonts w:ascii="Tahoma" w:hAnsi="Tahoma" w:cs="Tahoma"/>
      <w:color w:val="000000"/>
      <w:kern w:val="28"/>
      <w:sz w:val="16"/>
      <w:szCs w:val="16"/>
      <w:lang w:val="en-GB" w:eastAsia="en-GB"/>
    </w:rPr>
  </w:style>
  <w:style w:type="character" w:customStyle="1" w:styleId="HeaderChar">
    <w:name w:val="Header Char"/>
    <w:link w:val="Header"/>
    <w:uiPriority w:val="99"/>
    <w:rsid w:val="006B009B"/>
    <w:rPr>
      <w:color w:val="000000"/>
      <w:kern w:val="28"/>
      <w:lang w:val="en-GB" w:eastAsia="en-GB"/>
    </w:rPr>
  </w:style>
  <w:style w:type="table" w:styleId="TableGrid">
    <w:name w:val="Table Grid"/>
    <w:basedOn w:val="TableNormal"/>
    <w:rsid w:val="00A9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23DB6"/>
  </w:style>
  <w:style w:type="character" w:styleId="Emphasis">
    <w:name w:val="Emphasis"/>
    <w:uiPriority w:val="20"/>
    <w:qFormat/>
    <w:rsid w:val="00F23DB6"/>
    <w:rPr>
      <w:i/>
      <w:iCs/>
    </w:rPr>
  </w:style>
  <w:style w:type="character" w:styleId="Hyperlink">
    <w:name w:val="Hyperlink"/>
    <w:basedOn w:val="DefaultParagraphFont"/>
    <w:unhideWhenUsed/>
    <w:rsid w:val="001F64A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55B40"/>
    <w:rPr>
      <w:i/>
      <w:iCs/>
    </w:rPr>
  </w:style>
  <w:style w:type="character" w:styleId="Strong">
    <w:name w:val="Strong"/>
    <w:basedOn w:val="DefaultParagraphFont"/>
    <w:qFormat/>
    <w:rsid w:val="00AE774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83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46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hi-onlin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uthernbrooks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eweconomics.org/2011/07/five-ways-well-new-applications-new-ways-think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D1E0285651E4B91FAE94BA7692665" ma:contentTypeVersion="8" ma:contentTypeDescription="Create a new document." ma:contentTypeScope="" ma:versionID="b40dbe79810281d1b552e2fa44a99536">
  <xsd:schema xmlns:xsd="http://www.w3.org/2001/XMLSchema" xmlns:xs="http://www.w3.org/2001/XMLSchema" xmlns:p="http://schemas.microsoft.com/office/2006/metadata/properties" xmlns:ns2="4869d65a-799e-498c-a576-c62cc0e8abef" xmlns:ns3="506fe66d-3ddf-4d99-aedb-fa38161a7592" targetNamespace="http://schemas.microsoft.com/office/2006/metadata/properties" ma:root="true" ma:fieldsID="7e204715bbd7153d5900f719eab74a1b" ns2:_="" ns3:_="">
    <xsd:import namespace="4869d65a-799e-498c-a576-c62cc0e8abef"/>
    <xsd:import namespace="506fe66d-3ddf-4d99-aedb-fa38161a7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d65a-799e-498c-a576-c62cc0e8a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fe66d-3ddf-4d99-aedb-fa38161a7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84DEE-954A-4E43-B56B-059777F2D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743D3F-E82F-4662-B03E-3147169D8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71BD2-13EF-47C0-9F47-1C0A8B5FB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9d65a-799e-498c-a576-c62cc0e8abef"/>
    <ds:schemaRef ds:uri="506fe66d-3ddf-4d99-aedb-fa38161a7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Brooks Community Partnership</vt:lpstr>
    </vt:vector>
  </TitlesOfParts>
  <Company>Williams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Brooks Community Partnership</dc:title>
  <dc:creator>Jon</dc:creator>
  <cp:lastModifiedBy>Catherine Coleman</cp:lastModifiedBy>
  <cp:revision>3</cp:revision>
  <cp:lastPrinted>2018-08-07T14:01:00Z</cp:lastPrinted>
  <dcterms:created xsi:type="dcterms:W3CDTF">2019-04-18T08:18:00Z</dcterms:created>
  <dcterms:modified xsi:type="dcterms:W3CDTF">2019-04-18T08:20:00Z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0x01010045CD1E0285651E4B91FAE94BA7692665</vt:lpwstr>
  </property>
</Properties>
</file>