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CCD2D" w14:textId="77777777" w:rsidR="008C4881" w:rsidRPr="00AE7740" w:rsidRDefault="008C4881" w:rsidP="00F55539">
      <w:pPr>
        <w:widowControl w:val="0"/>
        <w:rPr>
          <w:rStyle w:val="Strong"/>
        </w:rPr>
      </w:pPr>
    </w:p>
    <w:tbl>
      <w:tblPr>
        <w:tblpPr w:leftFromText="180" w:rightFromText="180" w:vertAnchor="text" w:horzAnchor="margin" w:tblpXSpec="center" w:tblpY="1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D13FCF" w:rsidRPr="0009295F" w14:paraId="2BFCCD30" w14:textId="77777777" w:rsidTr="00597CCF">
        <w:tc>
          <w:tcPr>
            <w:tcW w:w="9747" w:type="dxa"/>
            <w:gridSpan w:val="2"/>
          </w:tcPr>
          <w:p w14:paraId="2BFCCD2E" w14:textId="640ACC2D" w:rsidR="00D13FCF" w:rsidRPr="0009295F" w:rsidRDefault="00FA1DC2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28"/>
              </w:rPr>
              <w:t>Health Advocate</w:t>
            </w:r>
            <w:r w:rsidR="003024D3">
              <w:rPr>
                <w:rFonts w:ascii="Calibri" w:hAnsi="Calibri" w:cs="Calibri"/>
                <w:b/>
                <w:bCs/>
                <w:sz w:val="32"/>
                <w:szCs w:val="28"/>
              </w:rPr>
              <w:t xml:space="preserve"> VOLUNTEER</w:t>
            </w:r>
            <w:r w:rsidR="00F55539">
              <w:rPr>
                <w:rFonts w:ascii="Calibri" w:hAnsi="Calibri" w:cs="Calibri"/>
                <w:b/>
                <w:bCs/>
                <w:sz w:val="32"/>
                <w:szCs w:val="28"/>
              </w:rPr>
              <w:t xml:space="preserve"> </w:t>
            </w:r>
            <w:r w:rsidR="00A42DDB" w:rsidRPr="0009295F">
              <w:rPr>
                <w:rFonts w:ascii="Calibri" w:hAnsi="Calibri" w:cs="Calibri"/>
                <w:b/>
                <w:bCs/>
                <w:sz w:val="32"/>
                <w:szCs w:val="28"/>
              </w:rPr>
              <w:t>ROLE</w:t>
            </w:r>
            <w:r w:rsidR="00D13FCF" w:rsidRPr="0009295F">
              <w:rPr>
                <w:rFonts w:ascii="Calibri" w:hAnsi="Calibri" w:cs="Calibri"/>
                <w:b/>
                <w:bCs/>
                <w:sz w:val="32"/>
                <w:szCs w:val="28"/>
              </w:rPr>
              <w:t xml:space="preserve"> DESCRIPTION</w:t>
            </w:r>
          </w:p>
          <w:p w14:paraId="2BFCCD2F" w14:textId="77777777" w:rsidR="00D13FCF" w:rsidRPr="0009295F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32"/>
                <w:szCs w:val="28"/>
                <w:u w:val="single"/>
              </w:rPr>
            </w:pPr>
          </w:p>
        </w:tc>
      </w:tr>
      <w:tr w:rsidR="00D13FCF" w:rsidRPr="0009295F" w14:paraId="2BFCCD33" w14:textId="77777777" w:rsidTr="00597CCF">
        <w:tc>
          <w:tcPr>
            <w:tcW w:w="2943" w:type="dxa"/>
          </w:tcPr>
          <w:p w14:paraId="2BFCCD31" w14:textId="77777777" w:rsidR="00D13FCF" w:rsidRPr="0009295F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>POST TITLE:</w:t>
            </w:r>
          </w:p>
        </w:tc>
        <w:tc>
          <w:tcPr>
            <w:tcW w:w="6804" w:type="dxa"/>
          </w:tcPr>
          <w:p w14:paraId="2BFCCD32" w14:textId="750D8E91" w:rsidR="00D13FCF" w:rsidRPr="0009295F" w:rsidRDefault="00FA1DC2" w:rsidP="003E6DDD">
            <w:pPr>
              <w:widowControl w:val="0"/>
              <w:rPr>
                <w:rFonts w:ascii="Calibri" w:hAnsi="Calibri" w:cs="Calibri"/>
                <w:bCs/>
                <w:sz w:val="24"/>
                <w:szCs w:val="28"/>
              </w:rPr>
            </w:pPr>
            <w:r>
              <w:rPr>
                <w:rFonts w:ascii="Calibri" w:hAnsi="Calibri" w:cs="Calibri"/>
                <w:bCs/>
                <w:sz w:val="24"/>
                <w:szCs w:val="28"/>
              </w:rPr>
              <w:t>Health A</w:t>
            </w:r>
            <w:r w:rsidR="006700FC">
              <w:rPr>
                <w:rFonts w:ascii="Calibri" w:hAnsi="Calibri" w:cs="Calibri"/>
                <w:bCs/>
                <w:sz w:val="24"/>
                <w:szCs w:val="28"/>
              </w:rPr>
              <w:t>mbassadors</w:t>
            </w:r>
            <w:r w:rsidR="003024D3">
              <w:rPr>
                <w:rFonts w:ascii="Calibri" w:hAnsi="Calibri" w:cs="Calibri"/>
                <w:bCs/>
                <w:sz w:val="24"/>
                <w:szCs w:val="28"/>
              </w:rPr>
              <w:t xml:space="preserve"> - Wellbeing Service</w:t>
            </w:r>
            <w:r>
              <w:rPr>
                <w:rFonts w:ascii="Calibri" w:hAnsi="Calibri" w:cs="Calibri"/>
                <w:bCs/>
                <w:sz w:val="24"/>
                <w:szCs w:val="28"/>
              </w:rPr>
              <w:t>, One You</w:t>
            </w:r>
            <w:r w:rsidR="00517B47">
              <w:rPr>
                <w:rFonts w:ascii="Calibri" w:hAnsi="Calibri" w:cs="Calibri"/>
                <w:bCs/>
                <w:sz w:val="24"/>
                <w:szCs w:val="28"/>
              </w:rPr>
              <w:t xml:space="preserve"> </w:t>
            </w:r>
          </w:p>
        </w:tc>
      </w:tr>
      <w:tr w:rsidR="00D13FCF" w:rsidRPr="0009295F" w14:paraId="2BFCCD36" w14:textId="77777777" w:rsidTr="00597CCF">
        <w:tc>
          <w:tcPr>
            <w:tcW w:w="2943" w:type="dxa"/>
          </w:tcPr>
          <w:p w14:paraId="2BFCCD34" w14:textId="77777777" w:rsidR="00D13FCF" w:rsidRPr="0009295F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>RESPONSIBLE TO:</w:t>
            </w:r>
          </w:p>
        </w:tc>
        <w:tc>
          <w:tcPr>
            <w:tcW w:w="6804" w:type="dxa"/>
          </w:tcPr>
          <w:p w14:paraId="2BFCCD35" w14:textId="77777777" w:rsidR="00D13FCF" w:rsidRPr="0009295F" w:rsidRDefault="00D13FCF" w:rsidP="00517B47">
            <w:pPr>
              <w:widowControl w:val="0"/>
              <w:rPr>
                <w:rFonts w:ascii="Calibri" w:hAnsi="Calibri" w:cs="Calibri"/>
                <w:bCs/>
                <w:i/>
                <w:sz w:val="24"/>
                <w:szCs w:val="28"/>
              </w:rPr>
            </w:pPr>
          </w:p>
        </w:tc>
      </w:tr>
    </w:tbl>
    <w:p w14:paraId="2BFCCD37" w14:textId="77777777" w:rsidR="00A913AB" w:rsidRPr="0009295F" w:rsidRDefault="00A913AB" w:rsidP="006B009B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8360"/>
      </w:tblGrid>
      <w:tr w:rsidR="00D13FCF" w:rsidRPr="0009295F" w14:paraId="2BFCCD47" w14:textId="77777777" w:rsidTr="00597CCF">
        <w:tc>
          <w:tcPr>
            <w:tcW w:w="1387" w:type="dxa"/>
          </w:tcPr>
          <w:p w14:paraId="2BFCCD38" w14:textId="77777777" w:rsidR="00D13FCF" w:rsidRPr="00662B68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BFCCD39" w14:textId="77777777" w:rsidR="00D13FCF" w:rsidRPr="00662B68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62B68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Main Purpose </w:t>
            </w:r>
          </w:p>
          <w:p w14:paraId="2BFCCD3A" w14:textId="77777777" w:rsidR="00D13FCF" w:rsidRPr="00662B68" w:rsidRDefault="00D13FCF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8360" w:type="dxa"/>
          </w:tcPr>
          <w:p w14:paraId="2BFCCD3B" w14:textId="77777777" w:rsidR="00E67DBA" w:rsidRPr="00E8325F" w:rsidRDefault="000764C7" w:rsidP="002432C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>Overview</w:t>
            </w:r>
          </w:p>
          <w:p w14:paraId="2BFCCD3C" w14:textId="24233C33" w:rsidR="003024D3" w:rsidRPr="00E8135E" w:rsidRDefault="003024D3" w:rsidP="00E8135E">
            <w:pPr>
              <w:rPr>
                <w:rFonts w:ascii="Arial" w:hAnsi="Arial" w:cs="Arial"/>
                <w:sz w:val="23"/>
                <w:szCs w:val="23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This role will support</w:t>
            </w:r>
            <w:r w:rsidR="00FA1DC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00FC">
              <w:rPr>
                <w:rFonts w:asciiTheme="minorHAnsi" w:hAnsiTheme="minorHAnsi" w:cstheme="minorHAnsi"/>
                <w:sz w:val="24"/>
                <w:szCs w:val="24"/>
              </w:rPr>
              <w:t xml:space="preserve">12 </w:t>
            </w:r>
            <w:r w:rsidR="00FA1DC2">
              <w:rPr>
                <w:rFonts w:asciiTheme="minorHAnsi" w:hAnsiTheme="minorHAnsi" w:cstheme="minorHAnsi"/>
                <w:sz w:val="24"/>
                <w:szCs w:val="24"/>
              </w:rPr>
              <w:t>national health initiatives</w:t>
            </w:r>
            <w:r w:rsidR="00E8135E">
              <w:rPr>
                <w:rFonts w:asciiTheme="minorHAnsi" w:hAnsiTheme="minorHAnsi" w:cstheme="minorHAnsi"/>
                <w:sz w:val="24"/>
                <w:szCs w:val="24"/>
              </w:rPr>
              <w:t xml:space="preserve"> (e.g. Stoptober, Dry January or World Mental Health Day)</w:t>
            </w:r>
            <w:r w:rsidR="00FA1DC2">
              <w:rPr>
                <w:rFonts w:asciiTheme="minorHAnsi" w:hAnsiTheme="minorHAnsi" w:cstheme="minorHAnsi"/>
                <w:sz w:val="24"/>
                <w:szCs w:val="24"/>
              </w:rPr>
              <w:t xml:space="preserve"> by speaking </w:t>
            </w:r>
            <w:r w:rsidR="00FA1DC2" w:rsidRPr="43622E5E">
              <w:rPr>
                <w:rFonts w:ascii="Arial" w:hAnsi="Arial" w:cs="Arial"/>
                <w:sz w:val="23"/>
                <w:szCs w:val="23"/>
              </w:rPr>
              <w:t xml:space="preserve">with </w:t>
            </w:r>
            <w:r w:rsidR="006700FC">
              <w:rPr>
                <w:rFonts w:ascii="Arial" w:hAnsi="Arial" w:cs="Arial"/>
                <w:sz w:val="23"/>
                <w:szCs w:val="23"/>
              </w:rPr>
              <w:t>people</w:t>
            </w:r>
            <w:r w:rsidR="00FA1DC2">
              <w:rPr>
                <w:rFonts w:ascii="Arial" w:hAnsi="Arial" w:cs="Arial"/>
                <w:sz w:val="23"/>
                <w:szCs w:val="23"/>
              </w:rPr>
              <w:t xml:space="preserve"> at events</w:t>
            </w:r>
            <w:r w:rsidR="006700FC">
              <w:rPr>
                <w:rFonts w:ascii="Arial" w:hAnsi="Arial" w:cs="Arial"/>
                <w:sz w:val="23"/>
                <w:szCs w:val="23"/>
              </w:rPr>
              <w:t xml:space="preserve"> and public locations such as supermarkets or GP surgeries.</w:t>
            </w:r>
            <w:r w:rsidR="00E8135E">
              <w:rPr>
                <w:rFonts w:ascii="Arial" w:hAnsi="Arial" w:cs="Arial"/>
                <w:sz w:val="23"/>
                <w:szCs w:val="23"/>
              </w:rPr>
              <w:t xml:space="preserve"> The conversations will s</w:t>
            </w:r>
            <w:r w:rsidR="00FA1DC2" w:rsidRPr="43622E5E">
              <w:rPr>
                <w:rFonts w:ascii="Arial" w:hAnsi="Arial" w:cs="Arial"/>
                <w:sz w:val="23"/>
                <w:szCs w:val="23"/>
              </w:rPr>
              <w:t xml:space="preserve">ignpost to trusted information, resources and support services running in South Gloucestershire </w:t>
            </w:r>
            <w:r w:rsidR="00E8135E">
              <w:rPr>
                <w:rFonts w:ascii="Arial" w:hAnsi="Arial" w:cs="Arial"/>
                <w:sz w:val="23"/>
                <w:szCs w:val="23"/>
              </w:rPr>
              <w:t>which</w:t>
            </w:r>
            <w:r w:rsidR="00FA1DC2" w:rsidRPr="43622E5E">
              <w:rPr>
                <w:rFonts w:ascii="Arial" w:hAnsi="Arial" w:cs="Arial"/>
                <w:sz w:val="23"/>
                <w:szCs w:val="23"/>
              </w:rPr>
              <w:t xml:space="preserve"> improve health and wellbeing. </w:t>
            </w:r>
          </w:p>
          <w:p w14:paraId="2BFCCD3D" w14:textId="77777777" w:rsidR="003024D3" w:rsidRPr="00E8325F" w:rsidRDefault="003024D3" w:rsidP="00662B68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FCCD3F" w14:textId="51FA8C68" w:rsidR="000764C7" w:rsidRDefault="00E8135E" w:rsidP="002432C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Attending these events encourages others to lead a healthier lifestyle and to understand what is available to take part in. </w:t>
            </w:r>
            <w:r w:rsidR="00CC6243">
              <w:rPr>
                <w:rFonts w:asciiTheme="minorHAnsi" w:hAnsiTheme="minorHAnsi" w:cstheme="minorHAnsi"/>
                <w:sz w:val="24"/>
                <w:szCs w:val="24"/>
              </w:rPr>
              <w:t>The aim of the service is to have 1200 conversations and signposts with people</w:t>
            </w:r>
            <w:r w:rsidR="006700FC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3AA4B9F8" w14:textId="77777777" w:rsidR="00E8135E" w:rsidRPr="00E8325F" w:rsidRDefault="00E8135E" w:rsidP="002432C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FCCD40" w14:textId="77777777" w:rsidR="00E67DBA" w:rsidRPr="00E8325F" w:rsidRDefault="00B8137D" w:rsidP="002432C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>Tasks</w:t>
            </w:r>
            <w:r w:rsidR="00A42DDB"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807F818" w14:textId="465933A7" w:rsidR="00E8135E" w:rsidRPr="0026648F" w:rsidRDefault="00E8135E" w:rsidP="00E8135E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648F">
              <w:rPr>
                <w:rFonts w:ascii="Arial" w:hAnsi="Arial" w:cs="Arial"/>
                <w:sz w:val="23"/>
                <w:szCs w:val="23"/>
              </w:rPr>
              <w:t>Hold ‘health chats’ or interventions with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6648F">
              <w:rPr>
                <w:rFonts w:ascii="Arial" w:hAnsi="Arial" w:cs="Arial"/>
                <w:sz w:val="23"/>
                <w:szCs w:val="23"/>
              </w:rPr>
              <w:t>member</w:t>
            </w: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Pr="0026648F">
              <w:rPr>
                <w:rFonts w:ascii="Arial" w:hAnsi="Arial" w:cs="Arial"/>
                <w:sz w:val="23"/>
                <w:szCs w:val="23"/>
              </w:rPr>
              <w:t xml:space="preserve"> of the public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54C57919" w14:textId="77777777" w:rsidR="00E8135E" w:rsidRPr="0026648F" w:rsidRDefault="00E8135E" w:rsidP="00E8135E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648F">
              <w:rPr>
                <w:rFonts w:ascii="Arial" w:hAnsi="Arial" w:cs="Arial"/>
                <w:sz w:val="23"/>
                <w:szCs w:val="23"/>
              </w:rPr>
              <w:t xml:space="preserve">Ensure the person they are speaking with knows about how to access the relevant support available regarding health and wellbeing services in South Gloucestershire </w:t>
            </w:r>
          </w:p>
          <w:p w14:paraId="36C39FC1" w14:textId="77777777" w:rsidR="00E8135E" w:rsidRPr="0026648F" w:rsidRDefault="00E8135E" w:rsidP="00E8135E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648F">
              <w:rPr>
                <w:rFonts w:ascii="Arial" w:hAnsi="Arial" w:cs="Arial"/>
                <w:sz w:val="23"/>
                <w:szCs w:val="23"/>
              </w:rPr>
              <w:t>Highlight trusted health information to others</w:t>
            </w:r>
          </w:p>
          <w:p w14:paraId="09D489A1" w14:textId="77777777" w:rsidR="00E8135E" w:rsidRPr="0026648F" w:rsidRDefault="00E8135E" w:rsidP="00E8135E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648F">
              <w:rPr>
                <w:rFonts w:ascii="Arial" w:hAnsi="Arial" w:cs="Arial"/>
                <w:sz w:val="23"/>
                <w:szCs w:val="23"/>
              </w:rPr>
              <w:t xml:space="preserve">Volunteer at public awareness and community events </w:t>
            </w:r>
          </w:p>
          <w:p w14:paraId="39B0A926" w14:textId="77777777" w:rsidR="00E8135E" w:rsidRPr="0026648F" w:rsidRDefault="00E8135E" w:rsidP="00E8135E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648F">
              <w:rPr>
                <w:rFonts w:ascii="Arial" w:hAnsi="Arial" w:cs="Arial"/>
                <w:sz w:val="23"/>
                <w:szCs w:val="23"/>
              </w:rPr>
              <w:t>Host health displays or stands in your place of work, or in the community</w:t>
            </w:r>
          </w:p>
          <w:p w14:paraId="4955F178" w14:textId="77777777" w:rsidR="00E8135E" w:rsidRPr="0026648F" w:rsidRDefault="00E8135E" w:rsidP="00E8135E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6648F">
              <w:rPr>
                <w:rFonts w:ascii="Arial" w:hAnsi="Arial" w:cs="Arial"/>
                <w:sz w:val="23"/>
                <w:szCs w:val="23"/>
              </w:rPr>
              <w:t>Highlight to your supervisor the areas of interest you hold in health and wellbeing to enable further progression opportunities</w:t>
            </w:r>
          </w:p>
          <w:p w14:paraId="2BFCCD46" w14:textId="7372C7CE" w:rsidR="00597CCF" w:rsidRPr="00E8325F" w:rsidRDefault="00597CCF" w:rsidP="00597CCF">
            <w:pPr>
              <w:ind w:left="72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8137D" w:rsidRPr="0009295F" w14:paraId="2BFCCD4C" w14:textId="77777777" w:rsidTr="00597CCF">
        <w:tc>
          <w:tcPr>
            <w:tcW w:w="1387" w:type="dxa"/>
          </w:tcPr>
          <w:p w14:paraId="2BFCCD48" w14:textId="77777777" w:rsidR="00B8137D" w:rsidRPr="0009295F" w:rsidRDefault="00B8137D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8360" w:type="dxa"/>
          </w:tcPr>
          <w:p w14:paraId="2BFCCD49" w14:textId="77777777" w:rsidR="00B8137D" w:rsidRPr="00E8325F" w:rsidRDefault="00B8137D" w:rsidP="002432C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FCCD4A" w14:textId="1AA28FA3" w:rsidR="00517B47" w:rsidRPr="00E8325F" w:rsidRDefault="006700FC" w:rsidP="002432C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There will be one event a month and one network training opportunity to learn about local services and develop your own skills. </w:t>
            </w:r>
          </w:p>
          <w:p w14:paraId="2BFCCD4B" w14:textId="77777777" w:rsidR="00662B68" w:rsidRPr="00E8325F" w:rsidRDefault="00662B68" w:rsidP="00DC796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912BC" w:rsidRPr="0009295F" w14:paraId="2BFCCD50" w14:textId="77777777" w:rsidTr="00597CCF">
        <w:tc>
          <w:tcPr>
            <w:tcW w:w="1387" w:type="dxa"/>
          </w:tcPr>
          <w:p w14:paraId="2BFCCD4D" w14:textId="77777777" w:rsidR="00E912BC" w:rsidRPr="0009295F" w:rsidRDefault="00E912BC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8360" w:type="dxa"/>
          </w:tcPr>
          <w:p w14:paraId="2BFCCD4E" w14:textId="77777777" w:rsidR="00517B47" w:rsidRPr="00E8325F" w:rsidRDefault="00D527A5" w:rsidP="00517B4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="00517B47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F64A4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TBC various across South </w:t>
            </w:r>
            <w:proofErr w:type="spellStart"/>
            <w:r w:rsidR="001F64A4" w:rsidRPr="00E8325F">
              <w:rPr>
                <w:rFonts w:asciiTheme="minorHAnsi" w:hAnsiTheme="minorHAnsi" w:cstheme="minorHAnsi"/>
                <w:sz w:val="24"/>
                <w:szCs w:val="24"/>
              </w:rPr>
              <w:t>Glos</w:t>
            </w:r>
            <w:proofErr w:type="spellEnd"/>
          </w:p>
          <w:p w14:paraId="2BFCCD4F" w14:textId="77777777" w:rsidR="00E912BC" w:rsidRPr="00E8325F" w:rsidRDefault="00E912BC" w:rsidP="002432C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4C93" w:rsidRPr="0009295F" w14:paraId="2BFCCD57" w14:textId="77777777" w:rsidTr="00597CCF">
        <w:tc>
          <w:tcPr>
            <w:tcW w:w="1387" w:type="dxa"/>
          </w:tcPr>
          <w:p w14:paraId="2BFCCD51" w14:textId="77777777" w:rsidR="00664C93" w:rsidRPr="0009295F" w:rsidRDefault="00664C93" w:rsidP="00D13FCF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>Support and Training</w:t>
            </w:r>
          </w:p>
        </w:tc>
        <w:tc>
          <w:tcPr>
            <w:tcW w:w="8360" w:type="dxa"/>
          </w:tcPr>
          <w:p w14:paraId="5E99CCD5" w14:textId="77777777" w:rsidR="006F034B" w:rsidRDefault="006F034B" w:rsidP="000764C7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EE0D87" w14:textId="738D92FB" w:rsidR="00597CCF" w:rsidRPr="00597CCF" w:rsidRDefault="000764C7" w:rsidP="00597CCF">
            <w:pPr>
              <w:pStyle w:val="ListParagraph"/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7CCF">
              <w:rPr>
                <w:rFonts w:asciiTheme="minorHAnsi" w:hAnsiTheme="minorHAnsi" w:cstheme="minorHAnsi"/>
                <w:sz w:val="24"/>
                <w:szCs w:val="24"/>
              </w:rPr>
              <w:t>Volunteer Induction session</w:t>
            </w:r>
            <w:r w:rsidR="00662B68" w:rsidRPr="00597CCF">
              <w:rPr>
                <w:rFonts w:asciiTheme="minorHAnsi" w:hAnsiTheme="minorHAnsi" w:cstheme="minorHAnsi"/>
                <w:sz w:val="24"/>
                <w:szCs w:val="24"/>
              </w:rPr>
              <w:t xml:space="preserve"> to the organisation</w:t>
            </w:r>
            <w:r w:rsidRPr="00597CCF">
              <w:rPr>
                <w:rFonts w:asciiTheme="minorHAnsi" w:hAnsiTheme="minorHAnsi" w:cstheme="minorHAnsi"/>
                <w:sz w:val="24"/>
                <w:szCs w:val="24"/>
              </w:rPr>
              <w:t xml:space="preserve"> lasting 2 hours</w:t>
            </w:r>
          </w:p>
          <w:p w14:paraId="2BFCCD53" w14:textId="77777777" w:rsidR="000764C7" w:rsidRPr="00597CCF" w:rsidRDefault="00662B68" w:rsidP="00597CCF">
            <w:pPr>
              <w:pStyle w:val="ListParagraph"/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7CCF">
              <w:rPr>
                <w:rFonts w:asciiTheme="minorHAnsi" w:hAnsiTheme="minorHAnsi" w:cstheme="minorHAnsi"/>
                <w:sz w:val="24"/>
                <w:szCs w:val="24"/>
              </w:rPr>
              <w:t>Supervision and support from your staff supervisor</w:t>
            </w:r>
            <w:r w:rsidR="00734F15" w:rsidRPr="00597CC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BFCCD54" w14:textId="77777777" w:rsidR="00734F15" w:rsidRPr="00597CCF" w:rsidRDefault="00734F15" w:rsidP="00597CCF">
            <w:pPr>
              <w:pStyle w:val="ListParagraph"/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7CCF">
              <w:rPr>
                <w:rFonts w:asciiTheme="minorHAnsi" w:hAnsiTheme="minorHAnsi" w:cstheme="minorHAnsi"/>
                <w:sz w:val="24"/>
                <w:szCs w:val="24"/>
              </w:rPr>
              <w:t>You will receive training in data protection</w:t>
            </w:r>
            <w:r w:rsidR="00517B47" w:rsidRPr="00597CCF">
              <w:rPr>
                <w:rFonts w:asciiTheme="minorHAnsi" w:hAnsiTheme="minorHAnsi" w:cstheme="minorHAnsi"/>
                <w:sz w:val="24"/>
                <w:szCs w:val="24"/>
              </w:rPr>
              <w:t>, confidentiality</w:t>
            </w:r>
            <w:r w:rsidRPr="00597CCF">
              <w:rPr>
                <w:rFonts w:asciiTheme="minorHAnsi" w:hAnsiTheme="minorHAnsi" w:cstheme="minorHAnsi"/>
                <w:sz w:val="24"/>
                <w:szCs w:val="24"/>
              </w:rPr>
              <w:t xml:space="preserve"> and safeguarding. </w:t>
            </w:r>
          </w:p>
          <w:p w14:paraId="2BFCCD55" w14:textId="03DB08A5" w:rsidR="001F64A4" w:rsidRDefault="001F64A4" w:rsidP="00597CCF">
            <w:pPr>
              <w:pStyle w:val="ListParagraph"/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7CCF">
              <w:rPr>
                <w:rFonts w:asciiTheme="minorHAnsi" w:hAnsiTheme="minorHAnsi" w:cstheme="minorHAnsi"/>
                <w:sz w:val="24"/>
                <w:szCs w:val="24"/>
              </w:rPr>
              <w:t xml:space="preserve">MECC (Making Every Contact Count) course a way to have health and wellbeing conversations with people. </w:t>
            </w:r>
          </w:p>
          <w:p w14:paraId="04E75E56" w14:textId="6242F6A9" w:rsidR="009E3640" w:rsidRPr="00597CCF" w:rsidRDefault="009E3640" w:rsidP="00597CCF">
            <w:pPr>
              <w:pStyle w:val="ListParagraph"/>
              <w:widowControl w:val="0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Network sessions to learn about specific health topics and local services</w:t>
            </w:r>
          </w:p>
          <w:p w14:paraId="2BFCCD56" w14:textId="77777777" w:rsidR="00662B68" w:rsidRPr="00E8325F" w:rsidRDefault="00662B68" w:rsidP="00517B47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3FCF" w:rsidRPr="0009295F" w14:paraId="2BFCCD5D" w14:textId="77777777" w:rsidTr="00597CCF">
        <w:tc>
          <w:tcPr>
            <w:tcW w:w="1387" w:type="dxa"/>
          </w:tcPr>
          <w:p w14:paraId="2BFCCD58" w14:textId="77777777" w:rsidR="00D13FCF" w:rsidRPr="0009295F" w:rsidRDefault="00D13FCF" w:rsidP="00B8137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Special notes </w:t>
            </w:r>
          </w:p>
        </w:tc>
        <w:tc>
          <w:tcPr>
            <w:tcW w:w="8360" w:type="dxa"/>
          </w:tcPr>
          <w:p w14:paraId="2BFCCD59" w14:textId="77777777" w:rsidR="00B8137D" w:rsidRPr="00E8325F" w:rsidRDefault="00B8137D" w:rsidP="006C6216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B5F2B2" w14:textId="71E1CB27" w:rsidR="006B4C31" w:rsidRDefault="006B4C31" w:rsidP="006B4C31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You will receive free Circadian Trust gym membership while volunteering </w:t>
            </w:r>
          </w:p>
          <w:p w14:paraId="2BFCCD5A" w14:textId="500B407E" w:rsidR="00517B47" w:rsidRPr="00E8325F" w:rsidRDefault="00517B47" w:rsidP="006C6216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A DBS check is needed for this role. South Brooks Community Partnerships pay for 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this. </w:t>
            </w:r>
          </w:p>
          <w:p w14:paraId="2BFCCD5B" w14:textId="72009DF1" w:rsidR="00B8137D" w:rsidRDefault="00A40C2E" w:rsidP="006C6216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We </w:t>
            </w:r>
            <w:r w:rsidR="00662B68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pay for travel expenses. </w:t>
            </w:r>
          </w:p>
          <w:p w14:paraId="2BFCCD5C" w14:textId="77777777" w:rsidR="001D752D" w:rsidRPr="00E8325F" w:rsidRDefault="001D752D" w:rsidP="006B4C31">
            <w:pPr>
              <w:widowControl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00AD4" w:rsidRPr="0009295F" w14:paraId="2BFCCD65" w14:textId="77777777" w:rsidTr="00597CCF">
        <w:tc>
          <w:tcPr>
            <w:tcW w:w="1387" w:type="dxa"/>
          </w:tcPr>
          <w:p w14:paraId="2BFCCD5E" w14:textId="77777777" w:rsidR="00A00AD4" w:rsidRPr="0009295F" w:rsidRDefault="00A00AD4" w:rsidP="00A00AD4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 w:rsidRPr="0009295F">
              <w:rPr>
                <w:rFonts w:ascii="Calibri" w:hAnsi="Calibri" w:cs="Calibri"/>
                <w:b/>
                <w:bCs/>
                <w:sz w:val="28"/>
              </w:rPr>
              <w:lastRenderedPageBreak/>
              <w:t>About you</w:t>
            </w:r>
          </w:p>
          <w:p w14:paraId="2BFCCD5F" w14:textId="77777777" w:rsidR="00A00AD4" w:rsidRPr="0009295F" w:rsidRDefault="00A00AD4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  <w:r w:rsidRPr="0009295F">
              <w:rPr>
                <w:rFonts w:ascii="Calibri" w:hAnsi="Calibri" w:cs="Calibri"/>
                <w:b/>
                <w:bCs/>
                <w:sz w:val="24"/>
              </w:rPr>
              <w:t>You can…</w:t>
            </w:r>
          </w:p>
          <w:p w14:paraId="2BFCCD60" w14:textId="77777777" w:rsidR="00A00AD4" w:rsidRPr="0009295F" w:rsidRDefault="00A00AD4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</w:p>
        </w:tc>
        <w:tc>
          <w:tcPr>
            <w:tcW w:w="8360" w:type="dxa"/>
          </w:tcPr>
          <w:p w14:paraId="2BFCCD61" w14:textId="68575285" w:rsidR="007442E5" w:rsidRPr="00E8325F" w:rsidRDefault="00517B47" w:rsidP="00517B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Confidently </w:t>
            </w:r>
            <w:r w:rsidR="006700FC">
              <w:rPr>
                <w:rFonts w:asciiTheme="minorHAnsi" w:hAnsiTheme="minorHAnsi" w:cstheme="minorHAnsi"/>
                <w:sz w:val="24"/>
                <w:szCs w:val="24"/>
              </w:rPr>
              <w:t xml:space="preserve">talk to 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people in a friendly and </w:t>
            </w:r>
            <w:r w:rsidR="00E8325F" w:rsidRPr="00E8325F">
              <w:rPr>
                <w:rFonts w:asciiTheme="minorHAnsi" w:hAnsiTheme="minorHAnsi" w:cstheme="minorHAnsi"/>
                <w:sz w:val="24"/>
                <w:szCs w:val="24"/>
              </w:rPr>
              <w:t>non-judgemental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manner</w:t>
            </w:r>
          </w:p>
          <w:p w14:paraId="2BFCCD62" w14:textId="77777777" w:rsidR="00517B47" w:rsidRPr="00E8325F" w:rsidRDefault="00517B47" w:rsidP="00517B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Follow safeguarding procedures</w:t>
            </w:r>
          </w:p>
          <w:p w14:paraId="2BFCCD63" w14:textId="77777777" w:rsidR="00517B47" w:rsidRPr="00E8325F" w:rsidRDefault="00517B47" w:rsidP="00517B4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Travel to the locations and arrive promptly</w:t>
            </w:r>
          </w:p>
          <w:p w14:paraId="2BFCCD64" w14:textId="77777777" w:rsidR="00517B47" w:rsidRPr="00E8325F" w:rsidRDefault="00517B47" w:rsidP="00517B47">
            <w:pPr>
              <w:pStyle w:val="ListParagraph"/>
              <w:spacing w:after="0" w:line="240" w:lineRule="auto"/>
              <w:ind w:left="7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00AD4" w:rsidRPr="0009295F" w14:paraId="2BFCCD6A" w14:textId="77777777" w:rsidTr="00597CCF">
        <w:trPr>
          <w:trHeight w:val="353"/>
        </w:trPr>
        <w:tc>
          <w:tcPr>
            <w:tcW w:w="1387" w:type="dxa"/>
          </w:tcPr>
          <w:p w14:paraId="2BFCCD66" w14:textId="77777777" w:rsidR="00A00AD4" w:rsidRPr="0009295F" w:rsidRDefault="00A00AD4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  <w:r w:rsidRPr="0009295F">
              <w:rPr>
                <w:rFonts w:ascii="Calibri" w:hAnsi="Calibri" w:cs="Calibri"/>
                <w:b/>
                <w:bCs/>
                <w:sz w:val="24"/>
              </w:rPr>
              <w:t>You are….</w:t>
            </w:r>
          </w:p>
        </w:tc>
        <w:tc>
          <w:tcPr>
            <w:tcW w:w="8360" w:type="dxa"/>
          </w:tcPr>
          <w:p w14:paraId="2BFCCD67" w14:textId="2D958B17" w:rsidR="00A00AD4" w:rsidRPr="00E8325F" w:rsidRDefault="007442E5" w:rsidP="00A00AD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Interested in</w:t>
            </w:r>
            <w:r w:rsidR="006700FC">
              <w:rPr>
                <w:rFonts w:asciiTheme="minorHAnsi" w:hAnsiTheme="minorHAnsi" w:cstheme="minorHAnsi"/>
                <w:sz w:val="24"/>
                <w:szCs w:val="24"/>
              </w:rPr>
              <w:t xml:space="preserve"> health </w:t>
            </w:r>
            <w:r w:rsidR="001F64A4" w:rsidRPr="00E8325F">
              <w:rPr>
                <w:rFonts w:asciiTheme="minorHAnsi" w:hAnsiTheme="minorHAnsi" w:cstheme="minorHAnsi"/>
                <w:sz w:val="24"/>
                <w:szCs w:val="24"/>
              </w:rPr>
              <w:t>and wellbeing</w:t>
            </w:r>
          </w:p>
          <w:p w14:paraId="2BFCCD68" w14:textId="0DEFE2E2" w:rsidR="00A00AD4" w:rsidRPr="00E8325F" w:rsidRDefault="00517B47" w:rsidP="00A00AD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Willing to learn about</w:t>
            </w:r>
            <w:r w:rsidR="006700FC">
              <w:rPr>
                <w:rFonts w:asciiTheme="minorHAnsi" w:hAnsiTheme="minorHAnsi" w:cstheme="minorHAnsi"/>
                <w:sz w:val="24"/>
                <w:szCs w:val="24"/>
              </w:rPr>
              <w:t xml:space="preserve"> health initiatives and local services.  </w:t>
            </w:r>
          </w:p>
          <w:p w14:paraId="2BFCCD69" w14:textId="77777777" w:rsidR="00A00AD4" w:rsidRPr="00E8325F" w:rsidRDefault="00517B47" w:rsidP="00A00AD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Friendly and empathetic</w:t>
            </w:r>
          </w:p>
        </w:tc>
      </w:tr>
      <w:tr w:rsidR="001F64A4" w:rsidRPr="0009295F" w14:paraId="2BFCCD80" w14:textId="77777777" w:rsidTr="00597CCF">
        <w:trPr>
          <w:trHeight w:val="353"/>
        </w:trPr>
        <w:tc>
          <w:tcPr>
            <w:tcW w:w="1387" w:type="dxa"/>
          </w:tcPr>
          <w:p w14:paraId="2BFCCD6B" w14:textId="77777777" w:rsidR="001F64A4" w:rsidRPr="0009295F" w:rsidRDefault="001F64A4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 xml:space="preserve">More About the Programme and the team </w:t>
            </w:r>
          </w:p>
        </w:tc>
        <w:tc>
          <w:tcPr>
            <w:tcW w:w="8360" w:type="dxa"/>
          </w:tcPr>
          <w:p w14:paraId="2BFCCD6C" w14:textId="77777777" w:rsidR="001F64A4" w:rsidRPr="00E8325F" w:rsidRDefault="001F64A4" w:rsidP="001F64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A6120B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aim of the 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Wellbeing </w:t>
            </w:r>
            <w:r w:rsidR="00A6120B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Service is to support people to lead healthy and happy lives. It takes place across South Gloucestershire including rural and town locations. It is a partnership of organisations who run different aspects of the service. </w:t>
            </w:r>
          </w:p>
          <w:p w14:paraId="2BFCCD6D" w14:textId="1478D43E" w:rsidR="0018797E" w:rsidRPr="00E8325F" w:rsidRDefault="0018797E" w:rsidP="001F64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>Universal Offer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– this is open to everyone and includes physical courses and sessions such as yoga, walking football, tai chi along with mindfulness and other stress relieving courses. </w:t>
            </w:r>
            <w:r w:rsidR="00D55B40" w:rsidRPr="00E8325F">
              <w:rPr>
                <w:rFonts w:asciiTheme="minorHAnsi" w:hAnsiTheme="minorHAnsi" w:cstheme="minorHAnsi"/>
                <w:sz w:val="24"/>
                <w:szCs w:val="24"/>
              </w:rPr>
              <w:t>Taster sessions for specific people who might find it hard to access general services e.g. carers, LGBTQ+, men</w:t>
            </w:r>
            <w:bookmarkStart w:id="0" w:name="_GoBack"/>
            <w:bookmarkEnd w:id="0"/>
            <w:r w:rsidR="00D55B40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2BFCCD6E" w14:textId="77777777" w:rsidR="0018797E" w:rsidRPr="00E8325F" w:rsidRDefault="0018797E" w:rsidP="001F64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>Wellbeing Sessions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– This is only for people who’</w:t>
            </w:r>
            <w:r w:rsidR="00D90DF0" w:rsidRPr="00E8325F">
              <w:rPr>
                <w:rFonts w:asciiTheme="minorHAnsi" w:hAnsiTheme="minorHAnsi" w:cstheme="minorHAnsi"/>
                <w:sz w:val="24"/>
                <w:szCs w:val="24"/>
              </w:rPr>
              <w:t>ve been referred to them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. They mig</w:t>
            </w:r>
            <w:r w:rsidR="00D55B40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ht be experience mild depression, anxiety, feel isolated and disengaged with the community and have a physical health condition. In small groups they will have information about the 5 Ways to Wellbeing and have 1:1 </w:t>
            </w:r>
            <w:proofErr w:type="gramStart"/>
            <w:r w:rsidR="00D55B40" w:rsidRPr="00E8325F">
              <w:rPr>
                <w:rFonts w:asciiTheme="minorHAnsi" w:hAnsiTheme="minorHAnsi" w:cstheme="minorHAnsi"/>
                <w:sz w:val="24"/>
                <w:szCs w:val="24"/>
              </w:rPr>
              <w:t>conversations</w:t>
            </w:r>
            <w:proofErr w:type="gramEnd"/>
            <w:r w:rsidR="00D55B40"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about positive actions they can make to help improve their health. </w:t>
            </w:r>
          </w:p>
          <w:p w14:paraId="2BFCCD6F" w14:textId="385658E7" w:rsidR="00D55B40" w:rsidRPr="00E8325F" w:rsidRDefault="00D55B40" w:rsidP="001F64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1:1 support – </w:t>
            </w:r>
            <w:r w:rsidR="00D9271E">
              <w:rPr>
                <w:rFonts w:asciiTheme="minorHAnsi" w:hAnsiTheme="minorHAnsi" w:cstheme="minorHAnsi"/>
                <w:sz w:val="24"/>
                <w:szCs w:val="24"/>
              </w:rPr>
              <w:t>Some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people </w:t>
            </w:r>
            <w:r w:rsidR="006F034B">
              <w:rPr>
                <w:rFonts w:asciiTheme="minorHAnsi" w:hAnsiTheme="minorHAnsi" w:cstheme="minorHAnsi"/>
                <w:sz w:val="24"/>
                <w:szCs w:val="24"/>
              </w:rPr>
              <w:t xml:space="preserve">requiring additional help to access services 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will be supported 1:1 by Wellbeing Support Workers and Wellbeing Buddy Volunteers. They will be supported to create action plans, supported to attend groups and activities and receive 1:1 coaching to help make behaviour changes. </w:t>
            </w:r>
          </w:p>
          <w:p w14:paraId="2BFCCD70" w14:textId="77777777" w:rsidR="00D55B40" w:rsidRPr="00E8325F" w:rsidRDefault="00D55B40" w:rsidP="001F64A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Enhanced </w:t>
            </w:r>
            <w:proofErr w:type="gramStart"/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>Support  -</w:t>
            </w:r>
            <w:proofErr w:type="gramEnd"/>
            <w:r w:rsidRPr="00E8325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A number of people with complex health needs will be supported with up to 12 weeks of therapeutic sessions to help them make the changes needed to become healthier and happier. </w:t>
            </w:r>
          </w:p>
          <w:p w14:paraId="14012217" w14:textId="77777777" w:rsidR="00FF083B" w:rsidRDefault="00D55B40" w:rsidP="00FF083B">
            <w:pPr>
              <w:ind w:left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083B">
              <w:rPr>
                <w:rFonts w:asciiTheme="minorHAnsi" w:hAnsiTheme="minorHAnsi" w:cstheme="minorHAnsi"/>
                <w:b/>
                <w:sz w:val="24"/>
                <w:szCs w:val="24"/>
              </w:rPr>
              <w:t>The partners in the Wellbeing Service are:</w:t>
            </w:r>
          </w:p>
          <w:p w14:paraId="5F6073E8" w14:textId="77777777" w:rsidR="00FF083B" w:rsidRPr="00FF083B" w:rsidRDefault="00FF083B" w:rsidP="00FF083B">
            <w:pPr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fldChar w:fldCharType="begin"/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instrText xml:space="preserve"> HYPERLINK "http://</w:instrText>
            </w:r>
          </w:p>
          <w:p w14:paraId="124B6CEA" w14:textId="77777777" w:rsidR="00FF083B" w:rsidRPr="00FF083B" w:rsidRDefault="00FF083B" w:rsidP="00FF083B">
            <w:pPr>
              <w:ind w:left="36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F083B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shd w:val="clear" w:color="auto" w:fill="FFFFFF"/>
              </w:rPr>
              <w:instrText>www.oasis-talk.org</w:instrText>
            </w:r>
            <w:r w:rsidRPr="00FF083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instrText xml:space="preserve">  Talking therapies service,</w:instrText>
            </w:r>
            <w:r w:rsidRPr="00FF083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instrText xml:space="preserve"> providing 1:1 therapeutic health coaching</w:instrText>
            </w:r>
          </w:p>
          <w:p w14:paraId="729E1A7B" w14:textId="77777777" w:rsidR="00FF083B" w:rsidRPr="00B476BD" w:rsidRDefault="00FF083B" w:rsidP="00FF083B">
            <w:pPr>
              <w:ind w:left="360"/>
              <w:rPr>
                <w:rStyle w:val="Hyperlink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instrText xml:space="preserve">" </w:instrTex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fldChar w:fldCharType="separate"/>
            </w:r>
          </w:p>
          <w:p w14:paraId="366AD9D8" w14:textId="77777777" w:rsidR="00FF083B" w:rsidRPr="00A831A6" w:rsidRDefault="00FF083B" w:rsidP="00FF083B">
            <w:pPr>
              <w:ind w:left="360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proofErr w:type="gramStart"/>
            <w:r w:rsidRPr="00A831A6">
              <w:rPr>
                <w:rStyle w:val="Hyperlink"/>
                <w:rFonts w:asciiTheme="minorHAnsi" w:hAnsiTheme="minorHAnsi" w:cstheme="minorHAnsi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www.oasis-talk.org</w:t>
            </w:r>
            <w:r w:rsidRPr="00A831A6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Talkin</w:t>
            </w:r>
            <w:proofErr w:type="gramEnd"/>
            <w:r w:rsidRPr="00A831A6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  <w:shd w:val="clear" w:color="auto" w:fill="FFFFFF"/>
              </w:rPr>
              <w:t>g therapies service,</w:t>
            </w:r>
            <w:r w:rsidRPr="00A831A6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providing 1:1 therapeutic health coaching</w:t>
            </w:r>
          </w:p>
          <w:p w14:paraId="1297466F" w14:textId="3C34025E" w:rsidR="00685660" w:rsidRPr="00FF083B" w:rsidRDefault="00FF083B" w:rsidP="00FF083B">
            <w:pPr>
              <w:ind w:left="360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  <w:r w:rsidR="00D55B40" w:rsidRPr="00FF083B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www.circadiantrust.org</w:t>
            </w:r>
            <w:r w:rsidR="00D55B40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02F71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D55B40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02F71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G</w:t>
            </w:r>
            <w:r w:rsidR="00D55B40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yms and leisure centres in South </w:t>
            </w:r>
            <w:proofErr w:type="spellStart"/>
            <w:r w:rsidR="00D55B40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Glos</w:t>
            </w:r>
            <w:proofErr w:type="spellEnd"/>
            <w:r w:rsidR="00902F71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, running </w:t>
            </w:r>
            <w:r w:rsidR="005450DD" w:rsidRPr="00FF083B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activities.</w:t>
            </w:r>
          </w:p>
          <w:p w14:paraId="3EF63ACE" w14:textId="77777777" w:rsidR="00685660" w:rsidRPr="00FF083B" w:rsidRDefault="00685660" w:rsidP="00FF083B">
            <w:pPr>
              <w:shd w:val="clear" w:color="auto" w:fill="FFFFFF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F083B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FF083B">
              <w:rPr>
                <w:rFonts w:asciiTheme="minorHAnsi" w:hAnsiTheme="minorHAnsi" w:cstheme="minorHAnsi"/>
                <w:sz w:val="24"/>
                <w:szCs w:val="24"/>
              </w:rPr>
              <w:instrText xml:space="preserve"> HYPERLINK "http://www.diversitytrust.org.uk  Providing training and taster sessions to make the programme inclusive. </w:instrText>
            </w:r>
          </w:p>
          <w:p w14:paraId="073AC6B5" w14:textId="77777777" w:rsidR="00685660" w:rsidRPr="00FF083B" w:rsidRDefault="00685660" w:rsidP="00FF083B">
            <w:pPr>
              <w:shd w:val="clear" w:color="auto" w:fill="FFFFFF"/>
              <w:ind w:left="360"/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</w:pPr>
            <w:r w:rsidRPr="00FF083B">
              <w:rPr>
                <w:rFonts w:asciiTheme="minorHAnsi" w:hAnsiTheme="minorHAnsi" w:cstheme="minorHAnsi"/>
                <w:sz w:val="24"/>
                <w:szCs w:val="24"/>
              </w:rPr>
              <w:instrText xml:space="preserve">" </w:instrText>
            </w:r>
            <w:r w:rsidRPr="00FF083B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F083B">
              <w:rPr>
                <w:rStyle w:val="Hyperlink"/>
                <w:rFonts w:asciiTheme="minorHAnsi" w:hAnsiTheme="minorHAnsi" w:cstheme="minorHAnsi"/>
                <w:b/>
                <w:color w:val="auto"/>
                <w:sz w:val="24"/>
                <w:szCs w:val="24"/>
                <w:u w:val="none"/>
              </w:rPr>
              <w:t>www.diversitytrust.org.uk</w:t>
            </w:r>
            <w:r w:rsidRPr="00FF083B">
              <w:rPr>
                <w:rStyle w:val="Hyperlink"/>
                <w:rFonts w:asciiTheme="minorHAnsi" w:hAnsiTheme="minorHAnsi" w:cstheme="minorHAnsi"/>
                <w:color w:val="auto"/>
                <w:sz w:val="24"/>
                <w:szCs w:val="24"/>
                <w:u w:val="none"/>
              </w:rPr>
              <w:t xml:space="preserve">  Providing training and taster sessions to make the programme inclusive. </w:t>
            </w:r>
          </w:p>
          <w:p w14:paraId="537022B6" w14:textId="77777777" w:rsidR="009D5C32" w:rsidRDefault="00685660" w:rsidP="009D5C32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F083B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hyperlink r:id="rId10" w:history="1">
              <w:r w:rsidR="00E8325F" w:rsidRPr="00FF083B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  <w:u w:val="none"/>
                </w:rPr>
                <w:t>www.southernbrooks.org.uk</w:t>
              </w:r>
            </w:hyperlink>
            <w:r w:rsidR="00D55B40" w:rsidRPr="00FF083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902F71" w:rsidRPr="00FF08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083B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="00D55B40" w:rsidRPr="00FF083B">
              <w:rPr>
                <w:rFonts w:asciiTheme="minorHAnsi" w:hAnsiTheme="minorHAnsi" w:cstheme="minorHAnsi"/>
                <w:sz w:val="24"/>
                <w:szCs w:val="24"/>
              </w:rPr>
              <w:t xml:space="preserve">eading the programme and </w:t>
            </w:r>
            <w:r w:rsidRPr="00FF083B">
              <w:rPr>
                <w:rFonts w:asciiTheme="minorHAnsi" w:hAnsiTheme="minorHAnsi" w:cstheme="minorHAnsi"/>
                <w:sz w:val="24"/>
                <w:szCs w:val="24"/>
              </w:rPr>
              <w:t>running peer support, 5 ways to wellbeing groups and 1:1 support</w:t>
            </w:r>
            <w:r w:rsidR="00FF083B" w:rsidRPr="00FF083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1D8B8CC4" w14:textId="417831E7" w:rsidR="00A6120B" w:rsidRDefault="00A831A6" w:rsidP="009D5C32">
            <w:pPr>
              <w:ind w:left="3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hyperlink r:id="rId11" w:history="1">
              <w:r w:rsidRPr="00A831A6">
                <w:rPr>
                  <w:rStyle w:val="Hyperlink"/>
                  <w:rFonts w:asciiTheme="minorHAnsi" w:hAnsiTheme="minorHAnsi" w:cstheme="minorHAnsi"/>
                  <w:b/>
                  <w:color w:val="auto"/>
                  <w:sz w:val="24"/>
                  <w:szCs w:val="24"/>
                  <w:u w:val="none"/>
                </w:rPr>
                <w:t>www.dhi-online.org.uk</w:t>
              </w:r>
            </w:hyperlink>
            <w:r w:rsidRPr="00A831A6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F36F4E" w:rsidRPr="00F36F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Supporting</w:t>
            </w:r>
            <w:r w:rsidR="00F36F4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FF685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people </w:t>
            </w:r>
            <w:r w:rsidR="006F03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recovering from</w:t>
            </w:r>
            <w:r w:rsidR="00FF6851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addi</w:t>
            </w:r>
            <w:r w:rsidR="00005782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ction</w:t>
            </w:r>
            <w:r w:rsidR="006F034B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to improve wellbeing</w:t>
            </w:r>
          </w:p>
          <w:p w14:paraId="2BFCCD7F" w14:textId="4C7AC95B" w:rsidR="007B689B" w:rsidRPr="00A831A6" w:rsidRDefault="007B689B" w:rsidP="009D5C32">
            <w:pPr>
              <w:ind w:left="360"/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A6120B" w:rsidRPr="0009295F" w14:paraId="2BFCCD8A" w14:textId="77777777" w:rsidTr="00597CCF">
        <w:trPr>
          <w:trHeight w:val="353"/>
        </w:trPr>
        <w:tc>
          <w:tcPr>
            <w:tcW w:w="1387" w:type="dxa"/>
          </w:tcPr>
          <w:p w14:paraId="2BFCCD81" w14:textId="77777777" w:rsidR="00A6120B" w:rsidRDefault="00A6120B" w:rsidP="00A00AD4">
            <w:pPr>
              <w:widowControl w:val="0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lastRenderedPageBreak/>
              <w:t>Application Process</w:t>
            </w:r>
          </w:p>
        </w:tc>
        <w:tc>
          <w:tcPr>
            <w:tcW w:w="8360" w:type="dxa"/>
          </w:tcPr>
          <w:p w14:paraId="2BFCCD82" w14:textId="77777777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You complete an application form either online, over the phone or paper copy</w:t>
            </w:r>
          </w:p>
          <w:p w14:paraId="2BFCCD83" w14:textId="77777777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>Volunteer co-ordinator looks at your application and gets in touch to arrange an informal interview</w:t>
            </w:r>
          </w:p>
          <w:p w14:paraId="2BFCCD84" w14:textId="77777777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During the interview you and the volunteer co-ordinate decide if you’re a good match for the role. </w:t>
            </w:r>
          </w:p>
          <w:p w14:paraId="2BFCCD85" w14:textId="77777777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You might decide not to continue and so might the volunteer co-ordinator. A conversation with feedback about why it’s not a good match. </w:t>
            </w:r>
          </w:p>
          <w:p w14:paraId="2BFCCD86" w14:textId="77777777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If both you and the volunteer co-ordinator think it’s suitable, you’ll be invited for a test session to see if you like it. </w:t>
            </w:r>
          </w:p>
          <w:p w14:paraId="2BFCCD87" w14:textId="4B369A52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After the session the volunteer co-ordinator will follow up with you as to how you found it and </w:t>
            </w:r>
            <w:r w:rsidR="006F034B">
              <w:rPr>
                <w:rFonts w:asciiTheme="minorHAnsi" w:hAnsiTheme="minorHAnsi" w:cstheme="minorHAnsi"/>
                <w:sz w:val="24"/>
                <w:szCs w:val="24"/>
              </w:rPr>
              <w:t>receive</w:t>
            </w: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 some feedback from the session leader. </w:t>
            </w:r>
          </w:p>
          <w:p w14:paraId="2BFCCD88" w14:textId="77777777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You might decide not to continue and so might the volunteer co-ordinator. A conversation with feedback about why it’s not a good match. </w:t>
            </w:r>
          </w:p>
          <w:p w14:paraId="2BFCCD89" w14:textId="08CB1A0D" w:rsidR="00A6120B" w:rsidRPr="00E8325F" w:rsidRDefault="00A6120B" w:rsidP="00A6120B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4"/>
                <w:szCs w:val="24"/>
              </w:rPr>
            </w:pPr>
            <w:r w:rsidRPr="00E8325F">
              <w:rPr>
                <w:rFonts w:asciiTheme="minorHAnsi" w:hAnsiTheme="minorHAnsi" w:cstheme="minorHAnsi"/>
                <w:sz w:val="24"/>
                <w:szCs w:val="24"/>
              </w:rPr>
              <w:t xml:space="preserve">If you and the volunteer co-ordinator think it’s a good role for you, you’ll be invited to an induction session, receive a welcome pack and offered relevant training to your role. </w:t>
            </w:r>
          </w:p>
        </w:tc>
      </w:tr>
    </w:tbl>
    <w:p w14:paraId="2BFCCD8B" w14:textId="0A3D568F" w:rsidR="00C13FAB" w:rsidRDefault="00C13FAB" w:rsidP="00DE585B">
      <w:pPr>
        <w:tabs>
          <w:tab w:val="left" w:pos="180"/>
        </w:tabs>
        <w:rPr>
          <w:rFonts w:ascii="Calibri" w:hAnsi="Calibri"/>
          <w:b/>
          <w:color w:val="0070C0"/>
          <w:sz w:val="36"/>
          <w:szCs w:val="28"/>
          <w:u w:val="single"/>
        </w:rPr>
      </w:pPr>
    </w:p>
    <w:p w14:paraId="6E2E5814" w14:textId="77777777" w:rsidR="00597CCF" w:rsidRDefault="00597CCF" w:rsidP="00DE585B">
      <w:pPr>
        <w:tabs>
          <w:tab w:val="left" w:pos="180"/>
        </w:tabs>
        <w:rPr>
          <w:rFonts w:ascii="Calibri" w:hAnsi="Calibri"/>
          <w:b/>
          <w:color w:val="0070C0"/>
          <w:sz w:val="36"/>
          <w:szCs w:val="28"/>
          <w:u w:val="single"/>
        </w:rPr>
      </w:pPr>
    </w:p>
    <w:sectPr w:rsidR="00597CCF" w:rsidSect="001F64A4">
      <w:headerReference w:type="default" r:id="rId12"/>
      <w:footerReference w:type="default" r:id="rId13"/>
      <w:pgSz w:w="11906" w:h="16838"/>
      <w:pgMar w:top="0" w:right="1800" w:bottom="450" w:left="180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67D8F" w14:textId="77777777" w:rsidR="00216166" w:rsidRDefault="00216166">
      <w:r>
        <w:separator/>
      </w:r>
    </w:p>
  </w:endnote>
  <w:endnote w:type="continuationSeparator" w:id="0">
    <w:p w14:paraId="44782C3E" w14:textId="77777777" w:rsidR="00216166" w:rsidRDefault="0021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CD91" w14:textId="3B3C0462" w:rsidR="003E6DDD" w:rsidRPr="003170B6" w:rsidRDefault="00F03AC3" w:rsidP="006B4C31">
    <w:pPr>
      <w:pStyle w:val="Footer"/>
      <w:jc w:val="right"/>
      <w:rPr>
        <w:rFonts w:ascii="Calibri" w:hAnsi="Calibri"/>
        <w:i/>
      </w:rPr>
    </w:pPr>
    <w:r>
      <w:rPr>
        <w:rFonts w:ascii="Calibri" w:hAnsi="Calibri"/>
        <w:i/>
        <w:color w:val="auto"/>
      </w:rPr>
      <w:tab/>
    </w:r>
    <w:r w:rsidR="00F55539">
      <w:rPr>
        <w:rFonts w:ascii="Calibri" w:hAnsi="Calibri"/>
        <w:i/>
        <w:color w:val="auto"/>
      </w:rPr>
      <w:t>Updated</w:t>
    </w:r>
    <w:r w:rsidR="006B4C31">
      <w:rPr>
        <w:rFonts w:ascii="Calibri" w:hAnsi="Calibri"/>
        <w:i/>
        <w:color w:val="auto"/>
      </w:rPr>
      <w:t xml:space="preserve"> </w:t>
    </w:r>
    <w:r w:rsidR="00F55539">
      <w:rPr>
        <w:rFonts w:ascii="Calibri" w:hAnsi="Calibri"/>
        <w:i/>
        <w:color w:val="auto"/>
      </w:rPr>
      <w:t>April 201</w:t>
    </w:r>
    <w:r w:rsidR="006B4C31">
      <w:rPr>
        <w:rFonts w:ascii="Calibri" w:hAnsi="Calibri"/>
        <w:i/>
        <w:color w:val="auto"/>
      </w:rPr>
      <w:t>9</w:t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  <w:color w:val="auto"/>
      </w:rPr>
      <w:tab/>
    </w:r>
    <w:r w:rsidR="003E6DDD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14F9B" w14:textId="77777777" w:rsidR="00216166" w:rsidRDefault="00216166">
      <w:r>
        <w:separator/>
      </w:r>
    </w:p>
  </w:footnote>
  <w:footnote w:type="continuationSeparator" w:id="0">
    <w:p w14:paraId="6A6C1B34" w14:textId="77777777" w:rsidR="00216166" w:rsidRDefault="0021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CCD90" w14:textId="77777777" w:rsidR="003E6DDD" w:rsidRPr="00F7650D" w:rsidRDefault="003E6DDD" w:rsidP="00F7650D">
    <w:pPr>
      <w:pStyle w:val="Header"/>
      <w:jc w:val="right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1A0"/>
    <w:multiLevelType w:val="hybridMultilevel"/>
    <w:tmpl w:val="97D67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83D34"/>
    <w:multiLevelType w:val="hybridMultilevel"/>
    <w:tmpl w:val="C5FCFE76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1884257"/>
    <w:multiLevelType w:val="hybridMultilevel"/>
    <w:tmpl w:val="A7B2C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C1336"/>
    <w:multiLevelType w:val="hybridMultilevel"/>
    <w:tmpl w:val="7332C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40D2D"/>
    <w:multiLevelType w:val="hybridMultilevel"/>
    <w:tmpl w:val="766EC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E303C"/>
    <w:multiLevelType w:val="hybridMultilevel"/>
    <w:tmpl w:val="85581F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1599E"/>
    <w:multiLevelType w:val="hybridMultilevel"/>
    <w:tmpl w:val="8956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7640"/>
    <w:multiLevelType w:val="hybridMultilevel"/>
    <w:tmpl w:val="77F4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C2B98"/>
    <w:multiLevelType w:val="hybridMultilevel"/>
    <w:tmpl w:val="5FB0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A7078"/>
    <w:multiLevelType w:val="hybridMultilevel"/>
    <w:tmpl w:val="15FCC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941C99"/>
    <w:multiLevelType w:val="hybridMultilevel"/>
    <w:tmpl w:val="D70207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0066B3"/>
    <w:multiLevelType w:val="hybridMultilevel"/>
    <w:tmpl w:val="78FA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F6687"/>
    <w:multiLevelType w:val="hybridMultilevel"/>
    <w:tmpl w:val="0E4E2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522F26"/>
    <w:multiLevelType w:val="hybridMultilevel"/>
    <w:tmpl w:val="E932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F6637"/>
    <w:multiLevelType w:val="hybridMultilevel"/>
    <w:tmpl w:val="E3B6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E66BC"/>
    <w:multiLevelType w:val="hybridMultilevel"/>
    <w:tmpl w:val="FE1AC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C6469"/>
    <w:multiLevelType w:val="hybridMultilevel"/>
    <w:tmpl w:val="A86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C26DB"/>
    <w:multiLevelType w:val="hybridMultilevel"/>
    <w:tmpl w:val="008C7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B22A2"/>
    <w:multiLevelType w:val="hybridMultilevel"/>
    <w:tmpl w:val="A004532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DC57BA"/>
    <w:multiLevelType w:val="hybridMultilevel"/>
    <w:tmpl w:val="218A2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53883"/>
    <w:multiLevelType w:val="hybridMultilevel"/>
    <w:tmpl w:val="8682A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B64AF1"/>
    <w:multiLevelType w:val="hybridMultilevel"/>
    <w:tmpl w:val="A190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D20DA"/>
    <w:multiLevelType w:val="hybridMultilevel"/>
    <w:tmpl w:val="162C1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6D7817"/>
    <w:multiLevelType w:val="hybridMultilevel"/>
    <w:tmpl w:val="A6AA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9374E"/>
    <w:multiLevelType w:val="hybridMultilevel"/>
    <w:tmpl w:val="697E7C5E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E78CF"/>
    <w:multiLevelType w:val="hybridMultilevel"/>
    <w:tmpl w:val="C8169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CB586D"/>
    <w:multiLevelType w:val="hybridMultilevel"/>
    <w:tmpl w:val="F9C477A2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A7EAD"/>
    <w:multiLevelType w:val="hybridMultilevel"/>
    <w:tmpl w:val="2C0064BE"/>
    <w:lvl w:ilvl="0" w:tplc="3A8C7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D3ADE"/>
    <w:multiLevelType w:val="hybridMultilevel"/>
    <w:tmpl w:val="A2D65378"/>
    <w:lvl w:ilvl="0" w:tplc="E55230A6">
      <w:start w:val="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63FB6C26"/>
    <w:multiLevelType w:val="hybridMultilevel"/>
    <w:tmpl w:val="7F22B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C2A72"/>
    <w:multiLevelType w:val="hybridMultilevel"/>
    <w:tmpl w:val="48A2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000A8"/>
    <w:multiLevelType w:val="hybridMultilevel"/>
    <w:tmpl w:val="2C38B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94D02"/>
    <w:multiLevelType w:val="multilevel"/>
    <w:tmpl w:val="199E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EA7E3B"/>
    <w:multiLevelType w:val="hybridMultilevel"/>
    <w:tmpl w:val="F55C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66660"/>
    <w:multiLevelType w:val="hybridMultilevel"/>
    <w:tmpl w:val="852A1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BB361A"/>
    <w:multiLevelType w:val="hybridMultilevel"/>
    <w:tmpl w:val="F2A2C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C3E75"/>
    <w:multiLevelType w:val="hybridMultilevel"/>
    <w:tmpl w:val="E0B4F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"/>
  </w:num>
  <w:num w:numId="5">
    <w:abstractNumId w:val="24"/>
  </w:num>
  <w:num w:numId="6">
    <w:abstractNumId w:val="26"/>
  </w:num>
  <w:num w:numId="7">
    <w:abstractNumId w:val="27"/>
  </w:num>
  <w:num w:numId="8">
    <w:abstractNumId w:val="18"/>
  </w:num>
  <w:num w:numId="9">
    <w:abstractNumId w:val="33"/>
  </w:num>
  <w:num w:numId="10">
    <w:abstractNumId w:val="22"/>
  </w:num>
  <w:num w:numId="11">
    <w:abstractNumId w:val="9"/>
  </w:num>
  <w:num w:numId="12">
    <w:abstractNumId w:val="23"/>
  </w:num>
  <w:num w:numId="13">
    <w:abstractNumId w:val="11"/>
  </w:num>
  <w:num w:numId="14">
    <w:abstractNumId w:val="0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31"/>
  </w:num>
  <w:num w:numId="22">
    <w:abstractNumId w:val="15"/>
  </w:num>
  <w:num w:numId="23">
    <w:abstractNumId w:val="4"/>
  </w:num>
  <w:num w:numId="24">
    <w:abstractNumId w:val="6"/>
  </w:num>
  <w:num w:numId="25">
    <w:abstractNumId w:val="13"/>
  </w:num>
  <w:num w:numId="26">
    <w:abstractNumId w:val="16"/>
  </w:num>
  <w:num w:numId="27">
    <w:abstractNumId w:val="2"/>
  </w:num>
  <w:num w:numId="28">
    <w:abstractNumId w:val="29"/>
  </w:num>
  <w:num w:numId="29">
    <w:abstractNumId w:val="36"/>
  </w:num>
  <w:num w:numId="30">
    <w:abstractNumId w:val="21"/>
  </w:num>
  <w:num w:numId="31">
    <w:abstractNumId w:val="34"/>
  </w:num>
  <w:num w:numId="32">
    <w:abstractNumId w:val="28"/>
  </w:num>
  <w:num w:numId="33">
    <w:abstractNumId w:val="32"/>
  </w:num>
  <w:num w:numId="34">
    <w:abstractNumId w:val="30"/>
  </w:num>
  <w:num w:numId="35">
    <w:abstractNumId w:val="14"/>
  </w:num>
  <w:num w:numId="36">
    <w:abstractNumId w:val="8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5"/>
    <w:rsid w:val="000016B1"/>
    <w:rsid w:val="00005782"/>
    <w:rsid w:val="00023EFC"/>
    <w:rsid w:val="000405B7"/>
    <w:rsid w:val="00053E8D"/>
    <w:rsid w:val="00054142"/>
    <w:rsid w:val="000611A6"/>
    <w:rsid w:val="000764C7"/>
    <w:rsid w:val="0009295F"/>
    <w:rsid w:val="000F403F"/>
    <w:rsid w:val="000F5EC7"/>
    <w:rsid w:val="0012397F"/>
    <w:rsid w:val="001319DA"/>
    <w:rsid w:val="00154835"/>
    <w:rsid w:val="0016181E"/>
    <w:rsid w:val="0018797E"/>
    <w:rsid w:val="001A0021"/>
    <w:rsid w:val="001B03FF"/>
    <w:rsid w:val="001B584A"/>
    <w:rsid w:val="001C322C"/>
    <w:rsid w:val="001C498C"/>
    <w:rsid w:val="001D7510"/>
    <w:rsid w:val="001D752D"/>
    <w:rsid w:val="001F64A4"/>
    <w:rsid w:val="00216166"/>
    <w:rsid w:val="00220239"/>
    <w:rsid w:val="002210C6"/>
    <w:rsid w:val="002277AA"/>
    <w:rsid w:val="00241D78"/>
    <w:rsid w:val="002432CD"/>
    <w:rsid w:val="00257653"/>
    <w:rsid w:val="002900FD"/>
    <w:rsid w:val="002B4CA3"/>
    <w:rsid w:val="002B67D8"/>
    <w:rsid w:val="002B7B2D"/>
    <w:rsid w:val="002D1AD9"/>
    <w:rsid w:val="002D691B"/>
    <w:rsid w:val="00300225"/>
    <w:rsid w:val="003024D3"/>
    <w:rsid w:val="00311825"/>
    <w:rsid w:val="003170B6"/>
    <w:rsid w:val="0032271D"/>
    <w:rsid w:val="00327A03"/>
    <w:rsid w:val="003600DF"/>
    <w:rsid w:val="0036114D"/>
    <w:rsid w:val="00386383"/>
    <w:rsid w:val="003A02F5"/>
    <w:rsid w:val="003B44CE"/>
    <w:rsid w:val="003E630C"/>
    <w:rsid w:val="003E6DDD"/>
    <w:rsid w:val="00410D80"/>
    <w:rsid w:val="00420F22"/>
    <w:rsid w:val="00461E95"/>
    <w:rsid w:val="004621E3"/>
    <w:rsid w:val="00475490"/>
    <w:rsid w:val="00482490"/>
    <w:rsid w:val="00496F38"/>
    <w:rsid w:val="004B3279"/>
    <w:rsid w:val="004B6C09"/>
    <w:rsid w:val="004F57C0"/>
    <w:rsid w:val="00512B08"/>
    <w:rsid w:val="00517B47"/>
    <w:rsid w:val="00521CF6"/>
    <w:rsid w:val="00537755"/>
    <w:rsid w:val="005415F9"/>
    <w:rsid w:val="005450DD"/>
    <w:rsid w:val="00597CCF"/>
    <w:rsid w:val="005F2821"/>
    <w:rsid w:val="00611B66"/>
    <w:rsid w:val="0065441E"/>
    <w:rsid w:val="00661EB2"/>
    <w:rsid w:val="00662B68"/>
    <w:rsid w:val="00664819"/>
    <w:rsid w:val="00664C93"/>
    <w:rsid w:val="006700FC"/>
    <w:rsid w:val="00685660"/>
    <w:rsid w:val="00687B8D"/>
    <w:rsid w:val="0069299F"/>
    <w:rsid w:val="006B009B"/>
    <w:rsid w:val="006B4C31"/>
    <w:rsid w:val="006C6216"/>
    <w:rsid w:val="006F034B"/>
    <w:rsid w:val="0070310F"/>
    <w:rsid w:val="00703A4A"/>
    <w:rsid w:val="007125F0"/>
    <w:rsid w:val="00714627"/>
    <w:rsid w:val="00731432"/>
    <w:rsid w:val="00734F15"/>
    <w:rsid w:val="007442E5"/>
    <w:rsid w:val="007726AA"/>
    <w:rsid w:val="00795453"/>
    <w:rsid w:val="007B689B"/>
    <w:rsid w:val="007D3A42"/>
    <w:rsid w:val="00867E80"/>
    <w:rsid w:val="0087469B"/>
    <w:rsid w:val="008C4881"/>
    <w:rsid w:val="008D2507"/>
    <w:rsid w:val="008F7357"/>
    <w:rsid w:val="00902F71"/>
    <w:rsid w:val="009035AD"/>
    <w:rsid w:val="00921867"/>
    <w:rsid w:val="009405B4"/>
    <w:rsid w:val="00945E68"/>
    <w:rsid w:val="009A6081"/>
    <w:rsid w:val="009B1C37"/>
    <w:rsid w:val="009D5C32"/>
    <w:rsid w:val="009E3640"/>
    <w:rsid w:val="00A00AD4"/>
    <w:rsid w:val="00A11772"/>
    <w:rsid w:val="00A40C2E"/>
    <w:rsid w:val="00A42DDB"/>
    <w:rsid w:val="00A57A58"/>
    <w:rsid w:val="00A6120B"/>
    <w:rsid w:val="00A61762"/>
    <w:rsid w:val="00A831A6"/>
    <w:rsid w:val="00A848C2"/>
    <w:rsid w:val="00A913AB"/>
    <w:rsid w:val="00AB4C19"/>
    <w:rsid w:val="00AC4F69"/>
    <w:rsid w:val="00AC5E16"/>
    <w:rsid w:val="00AE7740"/>
    <w:rsid w:val="00B303E0"/>
    <w:rsid w:val="00B45915"/>
    <w:rsid w:val="00B53BD6"/>
    <w:rsid w:val="00B54A1F"/>
    <w:rsid w:val="00B56715"/>
    <w:rsid w:val="00B8066F"/>
    <w:rsid w:val="00B8137D"/>
    <w:rsid w:val="00C02C02"/>
    <w:rsid w:val="00C13FAB"/>
    <w:rsid w:val="00C31E3C"/>
    <w:rsid w:val="00C4614F"/>
    <w:rsid w:val="00C91CF4"/>
    <w:rsid w:val="00CC6243"/>
    <w:rsid w:val="00D00ACC"/>
    <w:rsid w:val="00D13FCF"/>
    <w:rsid w:val="00D15368"/>
    <w:rsid w:val="00D35CF8"/>
    <w:rsid w:val="00D43BC1"/>
    <w:rsid w:val="00D456D6"/>
    <w:rsid w:val="00D527A5"/>
    <w:rsid w:val="00D55B40"/>
    <w:rsid w:val="00D90DF0"/>
    <w:rsid w:val="00D9271E"/>
    <w:rsid w:val="00D96969"/>
    <w:rsid w:val="00DA49BE"/>
    <w:rsid w:val="00DC7967"/>
    <w:rsid w:val="00DE585B"/>
    <w:rsid w:val="00E01623"/>
    <w:rsid w:val="00E039DE"/>
    <w:rsid w:val="00E05461"/>
    <w:rsid w:val="00E5748B"/>
    <w:rsid w:val="00E67DBA"/>
    <w:rsid w:val="00E8135E"/>
    <w:rsid w:val="00E8325F"/>
    <w:rsid w:val="00E87703"/>
    <w:rsid w:val="00E912BC"/>
    <w:rsid w:val="00EA053D"/>
    <w:rsid w:val="00F03AC3"/>
    <w:rsid w:val="00F0485C"/>
    <w:rsid w:val="00F23DB6"/>
    <w:rsid w:val="00F36F4E"/>
    <w:rsid w:val="00F55539"/>
    <w:rsid w:val="00F62ECA"/>
    <w:rsid w:val="00F725C7"/>
    <w:rsid w:val="00F7650D"/>
    <w:rsid w:val="00F8307A"/>
    <w:rsid w:val="00F86B8C"/>
    <w:rsid w:val="00FA1845"/>
    <w:rsid w:val="00FA1DC2"/>
    <w:rsid w:val="00FC6880"/>
    <w:rsid w:val="00FC7850"/>
    <w:rsid w:val="00FE2911"/>
    <w:rsid w:val="00FF083B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FCCD2D"/>
  <w15:docId w15:val="{56657D26-951A-46FA-9081-BD463E7C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1E95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65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50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B67D8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B67D8"/>
    <w:rPr>
      <w:color w:val="000000"/>
      <w:kern w:val="28"/>
      <w:lang w:val="en-GB" w:eastAsia="en-GB"/>
    </w:rPr>
  </w:style>
  <w:style w:type="paragraph" w:styleId="BodyTextIndent">
    <w:name w:val="Body Text Indent"/>
    <w:basedOn w:val="Normal"/>
    <w:link w:val="BodyTextIndentChar"/>
    <w:rsid w:val="000F5EC7"/>
    <w:pPr>
      <w:ind w:left="360"/>
    </w:pPr>
    <w:rPr>
      <w:rFonts w:ascii="Comic Sans MS" w:hAnsi="Comic Sans MS"/>
      <w:color w:val="auto"/>
      <w:kern w:val="0"/>
      <w:sz w:val="22"/>
      <w:lang w:eastAsia="en-US"/>
    </w:rPr>
  </w:style>
  <w:style w:type="character" w:customStyle="1" w:styleId="BodyTextIndentChar">
    <w:name w:val="Body Text Indent Char"/>
    <w:link w:val="BodyTextIndent"/>
    <w:rsid w:val="000F5EC7"/>
    <w:rPr>
      <w:rFonts w:ascii="Comic Sans MS" w:hAnsi="Comic Sans MS"/>
      <w:sz w:val="22"/>
      <w:lang w:val="en-GB"/>
    </w:rPr>
  </w:style>
  <w:style w:type="paragraph" w:styleId="BalloonText">
    <w:name w:val="Balloon Text"/>
    <w:basedOn w:val="Normal"/>
    <w:link w:val="BalloonTextChar"/>
    <w:rsid w:val="006B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009B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character" w:customStyle="1" w:styleId="HeaderChar">
    <w:name w:val="Header Char"/>
    <w:link w:val="Header"/>
    <w:uiPriority w:val="99"/>
    <w:rsid w:val="006B009B"/>
    <w:rPr>
      <w:color w:val="000000"/>
      <w:kern w:val="28"/>
      <w:lang w:val="en-GB" w:eastAsia="en-GB"/>
    </w:rPr>
  </w:style>
  <w:style w:type="table" w:styleId="TableGrid">
    <w:name w:val="Table Grid"/>
    <w:basedOn w:val="TableNormal"/>
    <w:rsid w:val="00A91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3DB6"/>
  </w:style>
  <w:style w:type="character" w:styleId="Emphasis">
    <w:name w:val="Emphasis"/>
    <w:uiPriority w:val="20"/>
    <w:qFormat/>
    <w:rsid w:val="00F23DB6"/>
    <w:rPr>
      <w:i/>
      <w:iCs/>
    </w:rPr>
  </w:style>
  <w:style w:type="character" w:styleId="Hyperlink">
    <w:name w:val="Hyperlink"/>
    <w:basedOn w:val="DefaultParagraphFont"/>
    <w:unhideWhenUsed/>
    <w:rsid w:val="001F64A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55B40"/>
    <w:rPr>
      <w:i/>
      <w:iCs/>
    </w:rPr>
  </w:style>
  <w:style w:type="character" w:styleId="Strong">
    <w:name w:val="Strong"/>
    <w:basedOn w:val="DefaultParagraphFont"/>
    <w:qFormat/>
    <w:rsid w:val="00AE774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8325F"/>
    <w:rPr>
      <w:color w:val="605E5C"/>
      <w:shd w:val="clear" w:color="auto" w:fill="E1DFDD"/>
    </w:rPr>
  </w:style>
  <w:style w:type="character" w:customStyle="1" w:styleId="normaltextrun1">
    <w:name w:val="normaltextrun1"/>
    <w:basedOn w:val="DefaultParagraphFont"/>
    <w:rsid w:val="00E8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46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hi-onlin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southernbrook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D1E0285651E4B91FAE94BA7692665" ma:contentTypeVersion="8" ma:contentTypeDescription="Create a new document." ma:contentTypeScope="" ma:versionID="b40dbe79810281d1b552e2fa44a99536">
  <xsd:schema xmlns:xsd="http://www.w3.org/2001/XMLSchema" xmlns:xs="http://www.w3.org/2001/XMLSchema" xmlns:p="http://schemas.microsoft.com/office/2006/metadata/properties" xmlns:ns2="4869d65a-799e-498c-a576-c62cc0e8abef" xmlns:ns3="506fe66d-3ddf-4d99-aedb-fa38161a7592" targetNamespace="http://schemas.microsoft.com/office/2006/metadata/properties" ma:root="true" ma:fieldsID="7e204715bbd7153d5900f719eab74a1b" ns2:_="" ns3:_="">
    <xsd:import namespace="4869d65a-799e-498c-a576-c62cc0e8abef"/>
    <xsd:import namespace="506fe66d-3ddf-4d99-aedb-fa38161a7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d65a-799e-498c-a576-c62cc0e8a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fe66d-3ddf-4d99-aedb-fa38161a7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84DEE-954A-4E43-B56B-059777F2D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43D3F-E82F-4662-B03E-3147169D8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71BD2-13EF-47C0-9F47-1C0A8B5FB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9d65a-799e-498c-a576-c62cc0e8abef"/>
    <ds:schemaRef ds:uri="506fe66d-3ddf-4d99-aedb-fa38161a7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Brooks Community Partnership</vt:lpstr>
    </vt:vector>
  </TitlesOfParts>
  <Company>Williams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Brooks Community Partnership</dc:title>
  <dc:creator>Jon</dc:creator>
  <cp:lastModifiedBy>Catherine Coleman</cp:lastModifiedBy>
  <cp:revision>3</cp:revision>
  <cp:lastPrinted>2018-08-07T14:01:00Z</cp:lastPrinted>
  <dcterms:created xsi:type="dcterms:W3CDTF">2019-04-18T08:56:00Z</dcterms:created>
  <dcterms:modified xsi:type="dcterms:W3CDTF">2019-04-18T10:38:00Z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0x01010045CD1E0285651E4B91FAE94BA7692665</vt:lpwstr>
  </property>
</Properties>
</file>